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BAC82">
      <w:pPr>
        <w:pStyle w:val="3"/>
        <w:numPr>
          <w:numId w:val="0"/>
        </w:numPr>
        <w:ind w:left="397" w:leftChars="0"/>
        <w:jc w:val="center"/>
        <w:rPr>
          <w:rFonts w:hint="eastAsia" w:ascii="Times New Roman" w:hAnsi="Times New Roman" w:eastAsia="宋体" w:cs="Times New Roman"/>
          <w:b/>
          <w:color w:val="auto"/>
          <w:lang w:val="en-US" w:eastAsia="zh-CN"/>
        </w:rPr>
      </w:pPr>
      <w:bookmarkStart w:id="0" w:name="_Toc6316"/>
      <w:bookmarkStart w:id="13" w:name="_GoBack"/>
      <w:bookmarkEnd w:id="13"/>
      <w:r>
        <w:rPr>
          <w:rFonts w:hint="eastAsia" w:cs="Times New Roman"/>
          <w:b/>
          <w:color w:val="auto"/>
          <w:lang w:val="en-US" w:eastAsia="zh-CN"/>
        </w:rPr>
        <w:t xml:space="preserve">第三章 </w:t>
      </w:r>
      <w:r>
        <w:rPr>
          <w:rFonts w:hint="eastAsia" w:ascii="Times New Roman" w:hAnsi="Times New Roman" w:eastAsia="宋体" w:cs="Times New Roman"/>
          <w:b/>
          <w:color w:val="auto"/>
          <w:lang w:val="en-US" w:eastAsia="zh-CN"/>
        </w:rPr>
        <w:t>采购需求</w:t>
      </w:r>
      <w:bookmarkEnd w:id="0"/>
    </w:p>
    <w:p w14:paraId="184B36D2">
      <w:pPr>
        <w:pStyle w:val="2"/>
        <w:numPr>
          <w:ilvl w:val="0"/>
          <w:numId w:val="2"/>
        </w:numPr>
        <w:jc w:val="left"/>
        <w:rPr>
          <w:rFonts w:hint="eastAsia"/>
          <w:color w:val="auto"/>
        </w:rPr>
      </w:pPr>
      <w:bookmarkStart w:id="1" w:name="_Toc31030"/>
      <w:r>
        <w:rPr>
          <w:rFonts w:hint="eastAsia"/>
          <w:color w:val="auto"/>
          <w:lang w:val="en-US" w:eastAsia="zh-CN"/>
        </w:rPr>
        <w:t>项目概况</w:t>
      </w:r>
      <w:bookmarkEnd w:id="1"/>
    </w:p>
    <w:p w14:paraId="3EBE9367">
      <w:pPr>
        <w:rPr>
          <w:rFonts w:hint="eastAsia"/>
          <w:color w:val="auto"/>
        </w:rPr>
      </w:pPr>
      <w:r>
        <w:rPr>
          <w:rFonts w:hint="eastAsia"/>
          <w:color w:val="auto"/>
        </w:rPr>
        <w:t>VTE包括深静脉血栓（DVT）和肺栓塞（PE），是全球范围内的主要健康问题。它是医院内获得性死亡的主要原因之一，尤其是在术后和长期卧床的患者中。VTE的高发病率和高致死率使得其预防和控制成为医疗机构的重要任务。传统的VTE防控手段主要依赖于医务人员的经验和常规的临床措施。然而，这些手段存在以下局限性：</w:t>
      </w:r>
    </w:p>
    <w:p w14:paraId="7E5EF4F8">
      <w:pPr>
        <w:rPr>
          <w:rFonts w:hint="eastAsia"/>
          <w:color w:val="auto"/>
        </w:rPr>
      </w:pPr>
      <w:r>
        <w:rPr>
          <w:rFonts w:hint="eastAsia"/>
          <w:color w:val="auto"/>
        </w:rPr>
        <w:t>（1）风险评估不够精准，可能导致预防措施不到位或过度用药。</w:t>
      </w:r>
    </w:p>
    <w:p w14:paraId="7F666E23">
      <w:pPr>
        <w:rPr>
          <w:rFonts w:hint="eastAsia"/>
          <w:color w:val="auto"/>
        </w:rPr>
      </w:pPr>
      <w:r>
        <w:rPr>
          <w:rFonts w:hint="eastAsia"/>
          <w:color w:val="auto"/>
        </w:rPr>
        <w:t>（2）缺乏实时监控手段，难以及时发现和处理VTE事件。</w:t>
      </w:r>
    </w:p>
    <w:p w14:paraId="5D32B130">
      <w:pPr>
        <w:rPr>
          <w:rFonts w:hint="eastAsia"/>
          <w:color w:val="auto"/>
        </w:rPr>
      </w:pPr>
      <w:r>
        <w:rPr>
          <w:rFonts w:hint="eastAsia"/>
          <w:color w:val="auto"/>
        </w:rPr>
        <w:t>（3）信息孤岛现象严重，不同科室和部门之间的信息共享不足，影响防控效果。</w:t>
      </w:r>
    </w:p>
    <w:p w14:paraId="6956B351">
      <w:pPr>
        <w:rPr>
          <w:rFonts w:hint="eastAsia"/>
          <w:color w:val="auto"/>
        </w:rPr>
      </w:pPr>
      <w:r>
        <w:rPr>
          <w:rFonts w:hint="eastAsia"/>
          <w:color w:val="auto"/>
        </w:rPr>
        <w:t>随着大数据、人工智能、物联网等信息技术的发展，智慧化医疗系统逐渐成为可能。这些技术可以集成和分析大量的医疗数据，从而提高疾病预测、预防和管理的能力。各国政府和卫生组织日益重视VTE防控，并出台了一系列政策和指南，推动各级医疗机构加强VTE防控工作。同时，随着医疗服务质量要求的提高，患者和社会对医疗安全的关注也促使医院加大对VTE防控的投入。</w:t>
      </w:r>
    </w:p>
    <w:p w14:paraId="7A74871E">
      <w:pPr>
        <w:rPr>
          <w:rFonts w:hint="eastAsia"/>
          <w:color w:val="auto"/>
        </w:rPr>
      </w:pPr>
      <w:r>
        <w:rPr>
          <w:rFonts w:hint="eastAsia"/>
          <w:color w:val="auto"/>
        </w:rPr>
        <w:t>智慧化VTE防控系统可以优化医疗资源配置，减轻医务人员的负担，提高医疗服务效率和质量。例如，通过自动化风险评估和实时监控，减少了医务人员的重复劳动，使其能够将更多精力投入到关键的诊治环节。</w:t>
      </w:r>
    </w:p>
    <w:p w14:paraId="2C34B546">
      <w:pPr>
        <w:pStyle w:val="2"/>
        <w:numPr>
          <w:ilvl w:val="0"/>
          <w:numId w:val="2"/>
        </w:numPr>
        <w:jc w:val="left"/>
        <w:rPr>
          <w:rFonts w:hint="eastAsia"/>
          <w:color w:val="auto"/>
        </w:rPr>
      </w:pPr>
      <w:bookmarkStart w:id="2" w:name="_Toc24153"/>
      <w:r>
        <w:rPr>
          <w:rFonts w:hint="eastAsia"/>
          <w:color w:val="auto"/>
        </w:rPr>
        <w:t>项目需求</w:t>
      </w:r>
      <w:bookmarkEnd w:id="2"/>
    </w:p>
    <w:tbl>
      <w:tblPr>
        <w:tblStyle w:val="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14"/>
        <w:gridCol w:w="7492"/>
        <w:gridCol w:w="1258"/>
      </w:tblGrid>
      <w:tr w14:paraId="49A537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1" w:hRule="atLeast"/>
        </w:trPr>
        <w:tc>
          <w:tcPr>
            <w:tcW w:w="519" w:type="pct"/>
            <w:noWrap w:val="0"/>
            <w:vAlign w:val="center"/>
          </w:tcPr>
          <w:p w14:paraId="61A2895D">
            <w:pPr>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3836" w:type="pct"/>
            <w:noWrap w:val="0"/>
            <w:vAlign w:val="center"/>
          </w:tcPr>
          <w:p w14:paraId="5A39022D">
            <w:pPr>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模块名称</w:t>
            </w:r>
          </w:p>
        </w:tc>
        <w:tc>
          <w:tcPr>
            <w:tcW w:w="644" w:type="pct"/>
            <w:noWrap w:val="0"/>
            <w:vAlign w:val="center"/>
          </w:tcPr>
          <w:p w14:paraId="7DB6D6B9">
            <w:pPr>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数量</w:t>
            </w:r>
          </w:p>
        </w:tc>
      </w:tr>
      <w:tr w14:paraId="084FC8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2" w:hRule="atLeast"/>
        </w:trPr>
        <w:tc>
          <w:tcPr>
            <w:tcW w:w="519" w:type="pct"/>
            <w:noWrap w:val="0"/>
            <w:vAlign w:val="center"/>
          </w:tcPr>
          <w:p w14:paraId="0C91DD11">
            <w:pPr>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3836" w:type="pct"/>
            <w:noWrap w:val="0"/>
            <w:vAlign w:val="center"/>
          </w:tcPr>
          <w:p w14:paraId="5AD954D8">
            <w:pPr>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智慧化 VTE 防控系统</w:t>
            </w:r>
          </w:p>
        </w:tc>
        <w:tc>
          <w:tcPr>
            <w:tcW w:w="644" w:type="pct"/>
            <w:noWrap w:val="0"/>
            <w:vAlign w:val="center"/>
          </w:tcPr>
          <w:p w14:paraId="39657D5E">
            <w:pPr>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1项</w:t>
            </w:r>
          </w:p>
        </w:tc>
      </w:tr>
    </w:tbl>
    <w:p w14:paraId="7792398B">
      <w:pPr>
        <w:ind w:firstLine="0" w:firstLineChars="0"/>
        <w:rPr>
          <w:rFonts w:hint="eastAsia"/>
          <w:b w:val="0"/>
          <w:bCs w:val="0"/>
          <w:color w:val="auto"/>
          <w:highlight w:val="none"/>
        </w:rPr>
      </w:pPr>
      <w:r>
        <w:rPr>
          <w:rFonts w:hint="eastAsia"/>
          <w:b w:val="0"/>
          <w:bCs w:val="0"/>
          <w:color w:val="auto"/>
          <w:highlight w:val="none"/>
        </w:rPr>
        <w:t>系统</w:t>
      </w:r>
      <w:r>
        <w:rPr>
          <w:rFonts w:hint="eastAsia"/>
          <w:b w:val="0"/>
          <w:bCs w:val="0"/>
          <w:color w:val="auto"/>
          <w:highlight w:val="none"/>
          <w:lang w:val="en-US" w:eastAsia="zh-CN"/>
        </w:rPr>
        <w:t>功能参数</w:t>
      </w:r>
      <w:r>
        <w:rPr>
          <w:rFonts w:hint="eastAsia"/>
          <w:b w:val="0"/>
          <w:bCs w:val="0"/>
          <w:color w:val="auto"/>
          <w:highlight w:val="none"/>
        </w:rPr>
        <w:t>：</w:t>
      </w:r>
    </w:p>
    <w:p w14:paraId="009F0DA4">
      <w:pPr>
        <w:numPr>
          <w:ilvl w:val="0"/>
          <w:numId w:val="3"/>
        </w:numPr>
        <w:rPr>
          <w:b/>
          <w:bCs/>
          <w:color w:val="auto"/>
        </w:rPr>
      </w:pPr>
      <w:bookmarkStart w:id="3" w:name="_Toc12891"/>
      <w:r>
        <w:rPr>
          <w:rFonts w:hint="eastAsia"/>
          <w:b/>
          <w:bCs/>
          <w:color w:val="auto"/>
        </w:rPr>
        <w:t>VTE风险评估</w:t>
      </w:r>
    </w:p>
    <w:p w14:paraId="27A1AD25">
      <w:pPr>
        <w:numPr>
          <w:ilvl w:val="0"/>
          <w:numId w:val="4"/>
        </w:numPr>
        <w:rPr>
          <w:rFonts w:hint="eastAsia" w:ascii="宋体" w:hAnsi="宋体" w:eastAsia="宋体" w:cs="宋体"/>
          <w:color w:val="auto"/>
        </w:rPr>
      </w:pPr>
      <w:r>
        <w:rPr>
          <w:rFonts w:hint="eastAsia" w:ascii="宋体" w:hAnsi="宋体" w:eastAsia="宋体" w:cs="宋体"/>
          <w:color w:val="auto"/>
        </w:rPr>
        <w:t>▲可通过VTE系统实现医嘱卡控或病历卡控功能，以确保VTE评估率和预防实施率等质控数据的提升，无需第三方系统开发改造。可在VTE系统后台高级设置中内实现医嘱卡控或病历卡控功能的相关自定义配置功能，后台配置至少包含卡控场景、卡控对象、卡控时机、VTE医嘱识别等四个内容。</w:t>
      </w:r>
    </w:p>
    <w:p w14:paraId="28D2DECD">
      <w:pPr>
        <w:numPr>
          <w:ilvl w:val="0"/>
          <w:numId w:val="4"/>
        </w:numPr>
        <w:rPr>
          <w:rFonts w:hint="eastAsia" w:ascii="宋体" w:hAnsi="宋体" w:eastAsia="宋体" w:cs="宋体"/>
          <w:color w:val="auto"/>
        </w:rPr>
      </w:pPr>
      <w:r>
        <w:rPr>
          <w:rFonts w:hint="eastAsia" w:ascii="宋体" w:hAnsi="宋体" w:eastAsia="宋体" w:cs="宋体"/>
          <w:color w:val="auto"/>
        </w:rPr>
        <w:t>病人入院后针对内、外科分别强制卡控和弹窗提醒方式，护理人员在规定时间内和规定节点对患者进行VTE风险评估；评估后系统自动推送评估结果至医生端进行确认；在关键评分节点（至少包含入院评分、术前评分、术后评分、病情变化后、出院评分、转科后、周期评分）通过卡控提醒评估者（医生或护士）进行评估或评估结果确认，评估人显示在表单上（可支持CA签名）。</w:t>
      </w:r>
    </w:p>
    <w:p w14:paraId="7B6C2DFC">
      <w:pPr>
        <w:numPr>
          <w:ilvl w:val="0"/>
          <w:numId w:val="4"/>
        </w:numPr>
        <w:rPr>
          <w:rFonts w:hint="eastAsia" w:ascii="宋体" w:hAnsi="宋体" w:eastAsia="宋体" w:cs="宋体"/>
          <w:color w:val="auto"/>
        </w:rPr>
      </w:pPr>
      <w:r>
        <w:rPr>
          <w:rFonts w:hint="eastAsia" w:ascii="宋体" w:hAnsi="宋体" w:eastAsia="宋体" w:cs="宋体"/>
          <w:color w:val="auto"/>
        </w:rPr>
        <w:t>支持自定义周期性复评规则，可根据患者内</w:t>
      </w:r>
      <w:r>
        <w:rPr>
          <w:rFonts w:hint="eastAsia" w:ascii="宋体" w:hAnsi="宋体" w:eastAsia="宋体" w:cs="宋体"/>
          <w:color w:val="auto"/>
          <w:lang w:val="en-US" w:eastAsia="zh-CN"/>
        </w:rPr>
        <w:t>科</w:t>
      </w:r>
      <w:r>
        <w:rPr>
          <w:rFonts w:hint="eastAsia" w:ascii="宋体" w:hAnsi="宋体" w:eastAsia="宋体" w:cs="宋体"/>
          <w:color w:val="auto"/>
        </w:rPr>
        <w:t>、外科、专科VTE风险低/中/高危不同等级设置不同的复评周期，满足医院对长期住院患者周期复评的要求。</w:t>
      </w:r>
    </w:p>
    <w:p w14:paraId="6D542189">
      <w:pPr>
        <w:numPr>
          <w:ilvl w:val="0"/>
          <w:numId w:val="4"/>
        </w:numPr>
        <w:rPr>
          <w:rFonts w:hint="eastAsia" w:ascii="宋体" w:hAnsi="宋体" w:eastAsia="宋体" w:cs="宋体"/>
          <w:color w:val="auto"/>
        </w:rPr>
      </w:pPr>
      <w:r>
        <w:rPr>
          <w:rFonts w:hint="eastAsia" w:ascii="宋体" w:hAnsi="宋体" w:eastAsia="宋体" w:cs="宋体"/>
          <w:color w:val="auto"/>
        </w:rPr>
        <w:t>系统可通过一种或多种识别策略判断病人的评分节点，包括医嘱、病人基础数据（如入院时间、转科时间、出院时间）诊断、病历信息、手术预约情况；评分节点的分配和识别策略支持不同科室、病区的自定义配置；可配置产科专科患者的评估节点，满足临床不同科室的评估需求。</w:t>
      </w:r>
    </w:p>
    <w:p w14:paraId="2A1AC729">
      <w:pPr>
        <w:numPr>
          <w:ilvl w:val="0"/>
          <w:numId w:val="4"/>
        </w:numPr>
        <w:rPr>
          <w:rFonts w:hint="eastAsia" w:ascii="宋体" w:hAnsi="宋体" w:eastAsia="宋体" w:cs="宋体"/>
          <w:color w:val="auto"/>
        </w:rPr>
      </w:pPr>
      <w:r>
        <w:rPr>
          <w:rFonts w:hint="eastAsia" w:ascii="宋体" w:hAnsi="宋体" w:eastAsia="宋体" w:cs="宋体"/>
          <w:color w:val="auto"/>
        </w:rPr>
        <w:t>▲支持合并评估节点配置功能，可根据医院要求设置节点合并规则，若在设定时限（可按小时时间设置）内系统识别患者处于多评分节点，可按照合并规则合并评估提醒，临床无需重复评估；支持不同科室/病区设置不同合并评估规则；同时不影响全院质控结果。</w:t>
      </w:r>
    </w:p>
    <w:p w14:paraId="179396C7">
      <w:pPr>
        <w:numPr>
          <w:ilvl w:val="0"/>
          <w:numId w:val="4"/>
        </w:numPr>
        <w:rPr>
          <w:rFonts w:hint="eastAsia" w:ascii="宋体" w:hAnsi="宋体" w:eastAsia="宋体" w:cs="宋体"/>
          <w:color w:val="auto"/>
        </w:rPr>
      </w:pPr>
      <w:r>
        <w:rPr>
          <w:rFonts w:hint="eastAsia" w:ascii="宋体" w:hAnsi="宋体" w:eastAsia="宋体" w:cs="宋体"/>
          <w:color w:val="auto"/>
        </w:rPr>
        <w:t>可自定义设置评估弹窗提醒时间，1-60min可调，满足各科室不同用户对弹窗间隔时间的要求。</w:t>
      </w:r>
    </w:p>
    <w:p w14:paraId="6D6F5154">
      <w:pPr>
        <w:numPr>
          <w:ilvl w:val="0"/>
          <w:numId w:val="4"/>
        </w:numPr>
        <w:rPr>
          <w:rFonts w:hint="eastAsia" w:ascii="宋体" w:hAnsi="宋体" w:eastAsia="宋体" w:cs="宋体"/>
          <w:color w:val="auto"/>
        </w:rPr>
      </w:pPr>
      <w:r>
        <w:rPr>
          <w:rFonts w:hint="eastAsia" w:ascii="宋体" w:hAnsi="宋体" w:eastAsia="宋体" w:cs="宋体"/>
          <w:color w:val="auto"/>
        </w:rPr>
        <w:t>评估流程管理：软件评估流程匹配临床业务流程，可选择设置</w:t>
      </w:r>
      <w:r>
        <w:rPr>
          <w:rFonts w:hint="eastAsia" w:ascii="宋体" w:hAnsi="宋体" w:eastAsia="宋体" w:cs="宋体"/>
          <w:color w:val="auto"/>
          <w:lang w:val="en-US" w:eastAsia="zh-CN"/>
        </w:rPr>
        <w:t>不少于</w:t>
      </w:r>
      <w:r>
        <w:rPr>
          <w:rFonts w:hint="eastAsia" w:ascii="宋体" w:hAnsi="宋体" w:eastAsia="宋体" w:cs="宋体"/>
          <w:color w:val="auto"/>
        </w:rPr>
        <w:t>4种流程</w:t>
      </w:r>
      <w:r>
        <w:rPr>
          <w:rFonts w:hint="eastAsia" w:ascii="宋体" w:hAnsi="宋体" w:eastAsia="宋体" w:cs="宋体"/>
          <w:color w:val="auto"/>
          <w:lang w:eastAsia="zh-CN"/>
        </w:rPr>
        <w:t>，</w:t>
      </w:r>
      <w:r>
        <w:rPr>
          <w:rFonts w:hint="eastAsia" w:ascii="宋体" w:hAnsi="宋体" w:eastAsia="宋体" w:cs="宋体"/>
          <w:color w:val="auto"/>
          <w:lang w:val="en-US" w:eastAsia="zh-CN"/>
        </w:rPr>
        <w:t>至少</w:t>
      </w:r>
      <w:r>
        <w:rPr>
          <w:rFonts w:hint="eastAsia" w:ascii="宋体" w:hAnsi="宋体" w:eastAsia="宋体" w:cs="宋体"/>
          <w:color w:val="auto"/>
        </w:rPr>
        <w:t>包括：护士评估--护士确认，护士评估--医生确认，医生评估--医生确认、医生评估--护士确认。</w:t>
      </w:r>
    </w:p>
    <w:p w14:paraId="799EBDBB">
      <w:pPr>
        <w:numPr>
          <w:ilvl w:val="0"/>
          <w:numId w:val="4"/>
        </w:numPr>
        <w:rPr>
          <w:rFonts w:hint="eastAsia" w:ascii="宋体" w:hAnsi="宋体" w:eastAsia="宋体" w:cs="宋体"/>
          <w:color w:val="auto"/>
        </w:rPr>
      </w:pPr>
      <w:r>
        <w:rPr>
          <w:rFonts w:hint="eastAsia" w:ascii="宋体" w:hAnsi="宋体" w:eastAsia="宋体" w:cs="宋体"/>
          <w:color w:val="auto"/>
        </w:rPr>
        <w:t>量表管理字典：可根据医院需求对以下量表内容进行自由维护和更改，主要有：量表及预防措施使用科室/病区、各量表危险因素选项、分值、判定标准、处理措施建议、系统处理措施建议等内容；</w:t>
      </w:r>
    </w:p>
    <w:p w14:paraId="7F88FC23">
      <w:pPr>
        <w:numPr>
          <w:ilvl w:val="0"/>
          <w:numId w:val="4"/>
        </w:numPr>
        <w:rPr>
          <w:rFonts w:hint="eastAsia" w:ascii="宋体" w:hAnsi="宋体" w:eastAsia="宋体" w:cs="宋体"/>
          <w:color w:val="auto"/>
        </w:rPr>
      </w:pPr>
      <w:r>
        <w:rPr>
          <w:rFonts w:hint="eastAsia" w:ascii="宋体" w:hAnsi="宋体" w:eastAsia="宋体" w:cs="宋体"/>
          <w:color w:val="auto"/>
        </w:rPr>
        <w:t>支持分科室风险评估流程方案化管理，可自定义不同科室的风险评估方案流程，如内科手术患者评估方案（Caprini评分→手术患者出血评分→机械预防禁忌评分→临床可能性评分）、肿瘤科非手术患者评估方案（肿瘤专科量表评分→非手术患者出血评分→机械预防禁忌评分→临床可能性评分）、外科手术患者评估方案</w:t>
      </w:r>
      <w:r>
        <w:rPr>
          <w:rFonts w:hint="eastAsia" w:ascii="宋体" w:hAnsi="宋体" w:eastAsia="宋体" w:cs="宋体"/>
          <w:color w:val="auto"/>
          <w:lang w:val="en-US" w:eastAsia="zh-CN"/>
        </w:rPr>
        <w:t>等</w:t>
      </w:r>
      <w:r>
        <w:rPr>
          <w:rFonts w:hint="eastAsia" w:ascii="宋体" w:hAnsi="宋体" w:eastAsia="宋体" w:cs="宋体"/>
          <w:color w:val="auto"/>
        </w:rPr>
        <w:t>。</w:t>
      </w:r>
    </w:p>
    <w:p w14:paraId="622014EF">
      <w:pPr>
        <w:numPr>
          <w:ilvl w:val="0"/>
          <w:numId w:val="4"/>
        </w:numPr>
        <w:rPr>
          <w:rFonts w:hint="eastAsia" w:ascii="宋体" w:hAnsi="宋体" w:eastAsia="宋体" w:cs="宋体"/>
          <w:color w:val="auto"/>
        </w:rPr>
      </w:pPr>
      <w:r>
        <w:rPr>
          <w:rFonts w:hint="eastAsia" w:ascii="宋体" w:hAnsi="宋体" w:eastAsia="宋体" w:cs="宋体"/>
          <w:color w:val="auto"/>
        </w:rPr>
        <w:t>▲系统对《医院内静脉血栓栓塞症防治质量评价与管理建议（2022版）》要求的免评估人群可进行自动识别，该人群未做VTE评分的不计入VTE风险评估率、预防实施率；界面可自动识别标记免评估人群，且支持手动标记、修改免评估人群。统计数据支持查看免评估患者列表，支持免评估患者列表导出，便于追溯管理。</w:t>
      </w:r>
    </w:p>
    <w:p w14:paraId="0519BB47">
      <w:pPr>
        <w:numPr>
          <w:ilvl w:val="0"/>
          <w:numId w:val="4"/>
        </w:numPr>
        <w:rPr>
          <w:rFonts w:hint="eastAsia" w:ascii="宋体" w:hAnsi="宋体" w:eastAsia="宋体" w:cs="宋体"/>
          <w:color w:val="auto"/>
        </w:rPr>
      </w:pPr>
      <w:r>
        <w:rPr>
          <w:rFonts w:hint="eastAsia" w:ascii="宋体" w:hAnsi="宋体" w:eastAsia="宋体" w:cs="宋体"/>
          <w:color w:val="auto"/>
        </w:rPr>
        <w:t>VTE中高危患者24小时内未下对应预防医嘱，将进行卡控或提醒。</w:t>
      </w:r>
    </w:p>
    <w:p w14:paraId="2B0C5F40">
      <w:pPr>
        <w:ind w:firstLine="720" w:firstLineChars="300"/>
        <w:rPr>
          <w:rFonts w:hint="eastAsia" w:ascii="宋体" w:hAnsi="宋体" w:eastAsia="宋体" w:cs="宋体"/>
          <w:color w:val="auto"/>
        </w:rPr>
      </w:pPr>
      <w:r>
        <w:rPr>
          <w:rFonts w:hint="eastAsia" w:ascii="宋体" w:hAnsi="宋体" w:eastAsia="宋体" w:cs="宋体"/>
          <w:color w:val="auto"/>
        </w:rPr>
        <w:t>12）▲支持查看评估量表修改记录，包括修改类型、修改详情、修改人、修改时间等信息；支持在软件评估弹窗提醒界面上查看患者基础信息、评估节点、评估提醒时间及评估原因</w:t>
      </w:r>
      <w:r>
        <w:rPr>
          <w:rFonts w:hint="eastAsia" w:ascii="宋体" w:hAnsi="宋体" w:eastAsia="宋体" w:cs="宋体"/>
          <w:color w:val="auto"/>
          <w:lang w:val="en-US" w:eastAsia="zh-CN"/>
        </w:rPr>
        <w:t>等</w:t>
      </w:r>
      <w:r>
        <w:rPr>
          <w:rFonts w:hint="eastAsia" w:ascii="宋体" w:hAnsi="宋体" w:eastAsia="宋体" w:cs="宋体"/>
          <w:color w:val="auto"/>
        </w:rPr>
        <w:t>，至少2个评估量表修改记录的查看入口，方便医护操作无需频繁切换界面。</w:t>
      </w:r>
    </w:p>
    <w:p w14:paraId="24F0EDB2">
      <w:pPr>
        <w:ind w:firstLine="720" w:firstLineChars="300"/>
        <w:rPr>
          <w:rFonts w:hint="eastAsia" w:ascii="宋体" w:hAnsi="宋体" w:eastAsia="宋体" w:cs="宋体"/>
          <w:color w:val="auto"/>
        </w:rPr>
      </w:pPr>
      <w:r>
        <w:rPr>
          <w:rFonts w:hint="eastAsia" w:ascii="宋体" w:hAnsi="宋体" w:eastAsia="宋体" w:cs="宋体"/>
          <w:color w:val="auto"/>
        </w:rPr>
        <w:t>13）▲量表智能辅助评分：系统通过识别患者评估时机后进入患者量表评估界面，通过自动抓取检索手术、医嘱、诊断、检验检查等医疗数据，结合VTE评估模型通过采用KNN算法，系统自动识别患者的风险因素进行AI评分，同时通过表格的形式呈现各量表各项AI和人工评分的对比；系统需人工复核后手动点击保存\确认评分才可完成一次评估，保证医护人员对每个患者每次评分时机的评分都是严禁准确的。</w:t>
      </w:r>
    </w:p>
    <w:p w14:paraId="04BDE5ED">
      <w:pPr>
        <w:ind w:left="0" w:leftChars="0" w:firstLine="720" w:firstLineChars="300"/>
        <w:rPr>
          <w:rFonts w:hint="eastAsia" w:ascii="宋体" w:hAnsi="宋体" w:eastAsia="宋体" w:cs="宋体"/>
          <w:color w:val="auto"/>
          <w:lang w:eastAsia="zh-CN"/>
        </w:rPr>
      </w:pPr>
      <w:r>
        <w:rPr>
          <w:rFonts w:hint="eastAsia" w:ascii="宋体" w:hAnsi="宋体" w:eastAsia="宋体" w:cs="宋体"/>
          <w:color w:val="auto"/>
        </w:rPr>
        <w:t>14）▲系统支持对已删除的评分记录进行查看功能，并支持恢复已删除的评估记录</w:t>
      </w:r>
      <w:r>
        <w:rPr>
          <w:rFonts w:hint="eastAsia" w:ascii="宋体" w:hAnsi="宋体" w:eastAsia="宋体" w:cs="宋体"/>
          <w:color w:val="auto"/>
          <w:lang w:eastAsia="zh-CN"/>
        </w:rPr>
        <w:t>。</w:t>
      </w:r>
    </w:p>
    <w:p w14:paraId="413D308A">
      <w:pPr>
        <w:ind w:left="0" w:leftChars="0" w:firstLine="720" w:firstLineChars="300"/>
        <w:rPr>
          <w:rFonts w:hint="eastAsia" w:ascii="宋体" w:hAnsi="宋体" w:eastAsia="宋体" w:cs="宋体"/>
          <w:color w:val="auto"/>
        </w:rPr>
      </w:pPr>
      <w:r>
        <w:rPr>
          <w:rFonts w:hint="eastAsia" w:ascii="宋体" w:hAnsi="宋体" w:eastAsia="宋体" w:cs="宋体"/>
          <w:color w:val="auto"/>
        </w:rPr>
        <w:t>15)系统内置多种量表，涵盖内、外、专科各科室的风险评估范围；支持不同科室/病区调整使用不同量表；至少有：Caprini/Padua/产科专科量表/Khrona/出血风险评分/机械预防禁忌评估/DVT/PE临床可能性评分等。</w:t>
      </w:r>
    </w:p>
    <w:p w14:paraId="7377D7C8">
      <w:pPr>
        <w:numPr>
          <w:ilvl w:val="0"/>
          <w:numId w:val="3"/>
        </w:numPr>
        <w:rPr>
          <w:b/>
          <w:bCs/>
          <w:color w:val="auto"/>
        </w:rPr>
      </w:pPr>
      <w:r>
        <w:rPr>
          <w:rFonts w:hint="eastAsia"/>
          <w:b/>
          <w:bCs/>
          <w:color w:val="auto"/>
        </w:rPr>
        <w:t>VTE质控管理</w:t>
      </w:r>
    </w:p>
    <w:p w14:paraId="0EF586F4">
      <w:pPr>
        <w:numPr>
          <w:ilvl w:val="0"/>
          <w:numId w:val="5"/>
        </w:numPr>
        <w:ind w:left="420" w:hanging="420"/>
        <w:rPr>
          <w:rFonts w:hint="eastAsia" w:ascii="宋体" w:hAnsi="宋体" w:eastAsia="宋体" w:cs="宋体"/>
          <w:color w:val="auto"/>
        </w:rPr>
      </w:pPr>
      <w:r>
        <w:rPr>
          <w:rFonts w:hint="eastAsia" w:ascii="宋体" w:hAnsi="宋体" w:eastAsia="宋体" w:cs="宋体"/>
          <w:color w:val="auto"/>
        </w:rPr>
        <w:t>支持实时监控在院患者的评估指标，至少包括VTE风险评估率、中高危患者比率、医生确认率、低危患者比率、高危患者比率、中危患者比率、医生确认率、出血风险评估率、不同种类预防率、中高危患者联合预防率、评估时间达标率等，并支持自定义显示模块。</w:t>
      </w:r>
    </w:p>
    <w:p w14:paraId="3FD2D183">
      <w:pPr>
        <w:numPr>
          <w:ilvl w:val="0"/>
          <w:numId w:val="5"/>
        </w:numPr>
        <w:ind w:left="420" w:hanging="420"/>
        <w:rPr>
          <w:rFonts w:hint="eastAsia" w:ascii="宋体" w:hAnsi="宋体" w:eastAsia="宋体" w:cs="宋体"/>
          <w:color w:val="auto"/>
        </w:rPr>
      </w:pPr>
      <w:r>
        <w:rPr>
          <w:rFonts w:hint="eastAsia" w:ascii="宋体" w:hAnsi="宋体" w:eastAsia="宋体" w:cs="宋体"/>
          <w:color w:val="auto"/>
        </w:rPr>
        <w:t>具备实时监控指标正反选导出功能：一键导出实时在院患者未做VTE风险评估列表；一键导出实时在院评估未确认患者及医生列表，实时监控数据可按日期查看，可回溯查看指定日期的实时监控数据，可查看总数据及各科室、病区数据，便于掌握在院患者的评估和预防的实施情况和趋势。</w:t>
      </w:r>
    </w:p>
    <w:p w14:paraId="40EEF54D">
      <w:pPr>
        <w:numPr>
          <w:ilvl w:val="0"/>
          <w:numId w:val="5"/>
        </w:numPr>
        <w:ind w:left="420" w:hanging="420"/>
        <w:rPr>
          <w:rFonts w:hint="eastAsia" w:ascii="宋体" w:hAnsi="宋体" w:eastAsia="宋体" w:cs="宋体"/>
          <w:color w:val="auto"/>
        </w:rPr>
      </w:pPr>
      <w:r>
        <w:rPr>
          <w:rFonts w:hint="eastAsia" w:ascii="宋体" w:hAnsi="宋体" w:eastAsia="宋体" w:cs="宋体"/>
          <w:color w:val="auto"/>
        </w:rPr>
        <w:t>可统计各类质控数据统计模块，并且支持根据医院实际情况自定义显示模块以及各项质控数据。</w:t>
      </w:r>
    </w:p>
    <w:p w14:paraId="1DF5A2E8">
      <w:pPr>
        <w:numPr>
          <w:ilvl w:val="0"/>
          <w:numId w:val="5"/>
        </w:numPr>
        <w:ind w:left="420" w:hanging="420"/>
        <w:rPr>
          <w:rFonts w:hint="eastAsia" w:ascii="宋体" w:hAnsi="宋体" w:eastAsia="宋体" w:cs="宋体"/>
          <w:color w:val="auto"/>
        </w:rPr>
      </w:pPr>
      <w:r>
        <w:rPr>
          <w:rFonts w:hint="eastAsia" w:ascii="宋体" w:hAnsi="宋体" w:eastAsia="宋体" w:cs="宋体"/>
          <w:color w:val="auto"/>
        </w:rPr>
        <w:t>可统计检查类指标质控数据，至少包含：实施D-二聚体检测比率、实施静脉超声检查比率、24小时凝血监测比率、心脏标志物检测比率、床旁心电图检查比率、床旁超声检查比率、CTPA检查比率、V/Q显像检查比率、肺动脉造影检查比率、确诊VTE的下肢静脉超声检查比率。</w:t>
      </w:r>
    </w:p>
    <w:p w14:paraId="400DBBC3">
      <w:pPr>
        <w:numPr>
          <w:ilvl w:val="0"/>
          <w:numId w:val="5"/>
        </w:numPr>
        <w:ind w:left="420" w:hanging="420"/>
        <w:rPr>
          <w:rFonts w:hint="eastAsia" w:ascii="宋体" w:hAnsi="宋体" w:eastAsia="宋体" w:cs="宋体"/>
          <w:color w:val="auto"/>
        </w:rPr>
      </w:pPr>
      <w:r>
        <w:rPr>
          <w:rFonts w:hint="eastAsia" w:ascii="宋体" w:hAnsi="宋体" w:eastAsia="宋体" w:cs="宋体"/>
          <w:color w:val="auto"/>
        </w:rPr>
        <w:t>可统计治疗类指标质控数据，至少包含：开展溶栓治疗实施率、介入治疗实施率、手术治疗实施率。</w:t>
      </w:r>
    </w:p>
    <w:p w14:paraId="4568FCBB">
      <w:pPr>
        <w:numPr>
          <w:ilvl w:val="0"/>
          <w:numId w:val="5"/>
        </w:numPr>
        <w:ind w:left="420" w:hanging="420"/>
        <w:rPr>
          <w:rFonts w:hint="eastAsia" w:ascii="宋体" w:hAnsi="宋体" w:eastAsia="宋体" w:cs="宋体"/>
          <w:color w:val="auto"/>
        </w:rPr>
      </w:pPr>
      <w:r>
        <w:rPr>
          <w:rFonts w:hint="eastAsia" w:ascii="宋体" w:hAnsi="宋体" w:eastAsia="宋体" w:cs="宋体"/>
          <w:color w:val="auto"/>
        </w:rPr>
        <w:t>可统计结局性指标质控数据，至少包含：VTE发生率、相关性VTE发生率、肺栓塞发生率、相关性PE发生率。</w:t>
      </w:r>
    </w:p>
    <w:p w14:paraId="7E2EAF40">
      <w:pPr>
        <w:numPr>
          <w:ilvl w:val="0"/>
          <w:numId w:val="5"/>
        </w:numPr>
        <w:ind w:left="420" w:hanging="420"/>
        <w:rPr>
          <w:rFonts w:hint="eastAsia" w:ascii="宋体" w:hAnsi="宋体" w:eastAsia="宋体" w:cs="宋体"/>
          <w:color w:val="auto"/>
        </w:rPr>
      </w:pPr>
      <w:r>
        <w:rPr>
          <w:rFonts w:hint="eastAsia" w:ascii="宋体" w:hAnsi="宋体" w:eastAsia="宋体" w:cs="宋体"/>
          <w:color w:val="auto"/>
        </w:rPr>
        <w:t>▲可一键统计《2022版三级医院评审标准》《全国肺栓塞和深静脉血栓形成防治能力建设项目-三级医院中心建设标准及评分细则》（2021年版）中所要求的VTE相关数据，可查看和导出数据报表。</w:t>
      </w:r>
    </w:p>
    <w:p w14:paraId="603A9C8D">
      <w:pPr>
        <w:numPr>
          <w:ilvl w:val="0"/>
          <w:numId w:val="5"/>
        </w:numPr>
        <w:ind w:left="420" w:hanging="420"/>
        <w:rPr>
          <w:rFonts w:hint="eastAsia" w:ascii="宋体" w:hAnsi="宋体" w:eastAsia="宋体" w:cs="宋体"/>
          <w:color w:val="auto"/>
        </w:rPr>
      </w:pPr>
      <w:r>
        <w:rPr>
          <w:rFonts w:hint="eastAsia" w:ascii="宋体" w:hAnsi="宋体" w:eastAsia="宋体" w:cs="宋体"/>
          <w:color w:val="auto"/>
        </w:rPr>
        <w:t>质控数据支持分院区、科室、病区、时间维度（年度、季度、月度、周、日）条件查询数据，支持表格、柱状图、曲线图的形式查看，支持图表下载导出。</w:t>
      </w:r>
    </w:p>
    <w:p w14:paraId="472932B7">
      <w:pPr>
        <w:numPr>
          <w:ilvl w:val="0"/>
          <w:numId w:val="5"/>
        </w:numPr>
        <w:ind w:left="420" w:hanging="420"/>
        <w:rPr>
          <w:rFonts w:hint="eastAsia" w:ascii="宋体" w:hAnsi="宋体" w:eastAsia="宋体" w:cs="宋体"/>
          <w:color w:val="auto"/>
        </w:rPr>
      </w:pPr>
      <w:r>
        <w:rPr>
          <w:rFonts w:hint="eastAsia" w:ascii="宋体" w:hAnsi="宋体" w:eastAsia="宋体" w:cs="宋体"/>
          <w:color w:val="auto"/>
        </w:rPr>
        <w:t>▲支持查看和导出各项质控统计指标的相关患者详细数据，质控指标界面需展示相关患者包括：所有住院患者、免评估患者、列入分母患者、列入分子患者、未列入分子患者，患者信息需包括住院号、姓名、年龄、入院时间、出院时间、主管医生、评估情况、预防情况、免评估描述、入院诊断、院内诊断、出院诊断、预防措施实施情况、基础预防医嘱、药物预防医嘱、机械预防医嘱、手术等信息。</w:t>
      </w:r>
    </w:p>
    <w:p w14:paraId="1BFED272">
      <w:pPr>
        <w:numPr>
          <w:ilvl w:val="0"/>
          <w:numId w:val="5"/>
        </w:numPr>
        <w:ind w:left="420" w:hanging="420"/>
        <w:rPr>
          <w:rFonts w:hint="eastAsia" w:ascii="宋体" w:hAnsi="宋体" w:eastAsia="宋体" w:cs="宋体"/>
          <w:color w:val="auto"/>
        </w:rPr>
      </w:pPr>
      <w:r>
        <w:rPr>
          <w:rFonts w:hint="eastAsia" w:ascii="宋体" w:hAnsi="宋体" w:eastAsia="宋体" w:cs="宋体"/>
          <w:color w:val="auto"/>
        </w:rPr>
        <w:t>可统计各评分节点的评估率和预防实施率，节点包含：入院后24h、术前24h、术后24h、转科</w:t>
      </w:r>
      <w:r>
        <w:rPr>
          <w:rFonts w:hint="eastAsia" w:ascii="宋体" w:hAnsi="宋体" w:eastAsia="宋体" w:cs="宋体"/>
          <w:color w:val="auto"/>
          <w:lang w:val="en-US" w:eastAsia="zh-CN"/>
        </w:rPr>
        <w:t>后</w:t>
      </w:r>
      <w:r>
        <w:rPr>
          <w:rFonts w:hint="eastAsia" w:ascii="宋体" w:hAnsi="宋体" w:eastAsia="宋体" w:cs="宋体"/>
          <w:color w:val="auto"/>
        </w:rPr>
        <w:t>24h、病情变化后、出院前24h。</w:t>
      </w:r>
    </w:p>
    <w:p w14:paraId="4D587E30">
      <w:pPr>
        <w:numPr>
          <w:ilvl w:val="0"/>
          <w:numId w:val="3"/>
        </w:numPr>
        <w:rPr>
          <w:b/>
          <w:bCs/>
          <w:color w:val="auto"/>
        </w:rPr>
      </w:pPr>
      <w:r>
        <w:rPr>
          <w:rFonts w:hint="eastAsia"/>
          <w:b/>
          <w:bCs/>
          <w:color w:val="auto"/>
        </w:rPr>
        <w:t>VTE评审</w:t>
      </w:r>
    </w:p>
    <w:p w14:paraId="536E3678">
      <w:pPr>
        <w:numPr>
          <w:ilvl w:val="0"/>
          <w:numId w:val="6"/>
        </w:numPr>
        <w:ind w:left="420" w:hanging="420"/>
        <w:rPr>
          <w:color w:val="auto"/>
        </w:rPr>
      </w:pPr>
      <w:r>
        <w:rPr>
          <w:rFonts w:hint="eastAsia" w:ascii="宋体" w:hAnsi="宋体" w:eastAsia="宋体" w:cs="宋体"/>
          <w:color w:val="auto"/>
        </w:rPr>
        <w:t>VTE系统内置VTE培训相关课件，也支持用户上传、查看、下载VTE临床指南、VTE评审、VTE培训相关文件。</w:t>
      </w:r>
    </w:p>
    <w:p w14:paraId="45240565">
      <w:pPr>
        <w:numPr>
          <w:ilvl w:val="0"/>
          <w:numId w:val="3"/>
        </w:numPr>
        <w:rPr>
          <w:b/>
          <w:bCs/>
          <w:color w:val="auto"/>
        </w:rPr>
      </w:pPr>
      <w:r>
        <w:rPr>
          <w:rFonts w:hint="eastAsia"/>
          <w:b/>
          <w:bCs/>
          <w:color w:val="auto"/>
        </w:rPr>
        <w:t>科室管理</w:t>
      </w:r>
    </w:p>
    <w:p w14:paraId="152BA163">
      <w:pPr>
        <w:numPr>
          <w:ilvl w:val="0"/>
          <w:numId w:val="7"/>
        </w:numPr>
        <w:ind w:left="420" w:hanging="420"/>
        <w:rPr>
          <w:rFonts w:hint="eastAsia" w:ascii="宋体" w:hAnsi="宋体" w:eastAsia="宋体" w:cs="宋体"/>
          <w:color w:val="auto"/>
        </w:rPr>
      </w:pPr>
      <w:r>
        <w:rPr>
          <w:rFonts w:hint="eastAsia" w:ascii="宋体" w:hAnsi="宋体" w:eastAsia="宋体" w:cs="宋体"/>
          <w:color w:val="auto"/>
        </w:rPr>
        <w:t>▲用户权限配置字典：支持不同权限管理，至少须具备医生、护士、科主任/护士长、护理联络员、医生联络员、信息科管理员、管理端(分为护理部、医务科,包含统计查看临床科室或病区评估情况)八级权限管理，且须区分科室、病区。各科室病区对应的科主任护士长角色用户，方便对本科室用户进行调整，对VTE工作进行管理指导；支持后台自定义分配各用户权限，可分配不同用户角色不同的系统功能权限，可按一级功能模块维度、各级功能菜单的维度来分配权限。</w:t>
      </w:r>
    </w:p>
    <w:p w14:paraId="5940811A">
      <w:pPr>
        <w:numPr>
          <w:ilvl w:val="0"/>
          <w:numId w:val="7"/>
        </w:numPr>
        <w:ind w:left="420" w:hanging="420"/>
        <w:rPr>
          <w:rFonts w:hint="eastAsia" w:ascii="宋体" w:hAnsi="宋体" w:eastAsia="宋体" w:cs="宋体"/>
          <w:color w:val="auto"/>
        </w:rPr>
      </w:pPr>
      <w:r>
        <w:rPr>
          <w:rFonts w:hint="eastAsia" w:ascii="宋体" w:hAnsi="宋体" w:eastAsia="宋体" w:cs="宋体"/>
          <w:color w:val="auto"/>
        </w:rPr>
        <w:t>科室用户导入功能：支持HIS用户同步功能、支持批量用户导入及导出功能，</w:t>
      </w:r>
    </w:p>
    <w:p w14:paraId="350A3EFC">
      <w:pPr>
        <w:numPr>
          <w:ilvl w:val="0"/>
          <w:numId w:val="7"/>
        </w:numPr>
        <w:ind w:left="420" w:hanging="420"/>
        <w:rPr>
          <w:rFonts w:hint="eastAsia" w:ascii="宋体" w:hAnsi="宋体" w:eastAsia="宋体" w:cs="宋体"/>
          <w:color w:val="auto"/>
        </w:rPr>
      </w:pPr>
      <w:r>
        <w:rPr>
          <w:rFonts w:hint="eastAsia" w:ascii="宋体" w:hAnsi="宋体" w:eastAsia="宋体" w:cs="宋体"/>
          <w:color w:val="auto"/>
        </w:rPr>
        <w:t>支持设置医疗组，可同步HIS医疗组信息（第三方系统接口支持的情况下）医疗组内值班医生共享患者信息，并可对医疗组内患者评估管理，可按医疗组的维度做质控统计；</w:t>
      </w:r>
    </w:p>
    <w:p w14:paraId="113C27EE">
      <w:pPr>
        <w:numPr>
          <w:ilvl w:val="0"/>
          <w:numId w:val="7"/>
        </w:numPr>
        <w:ind w:left="420" w:hanging="420"/>
        <w:rPr>
          <w:color w:val="auto"/>
        </w:rPr>
      </w:pPr>
      <w:r>
        <w:rPr>
          <w:rFonts w:hint="eastAsia" w:ascii="宋体" w:hAnsi="宋体" w:eastAsia="宋体" w:cs="宋体"/>
          <w:color w:val="auto"/>
        </w:rPr>
        <w:t>▲软件支持自定义科室病区权限申请，除系统导入外，医护支持申请院内相关性科室病区用户权限，相关性科室病区护士长主任可查看申请列表进行权限申请审核，并支持一键通过</w:t>
      </w:r>
    </w:p>
    <w:p w14:paraId="1B9AD466">
      <w:pPr>
        <w:numPr>
          <w:ilvl w:val="0"/>
          <w:numId w:val="7"/>
        </w:numPr>
        <w:ind w:left="420" w:hanging="420"/>
        <w:rPr>
          <w:color w:val="auto"/>
        </w:rPr>
      </w:pPr>
      <w:r>
        <w:rPr>
          <w:rFonts w:hint="eastAsia" w:ascii="宋体" w:hAnsi="宋体" w:eastAsia="宋体" w:cs="宋体"/>
          <w:color w:val="auto"/>
        </w:rPr>
        <w:t>系统内置基础预防、机械预防、药物预防、诊断建议，支持医护人员勾选预防措施建议，可一键复制评估结果和预防措施，便于医护人员书写；同时配套负责接入医院HIS信息系统和护理文书系统的前提下，有插入引用的渠道将VTE风险评估、出血风险、预防措施等相关信息一键插入在HIS系统中的病程和护理文书的护理评估记录中。</w:t>
      </w:r>
    </w:p>
    <w:p w14:paraId="167B24D0">
      <w:pPr>
        <w:numPr>
          <w:ilvl w:val="0"/>
          <w:numId w:val="7"/>
        </w:numPr>
        <w:ind w:left="420" w:hanging="420"/>
        <w:rPr>
          <w:color w:val="auto"/>
        </w:rPr>
      </w:pPr>
      <w:r>
        <w:rPr>
          <w:rFonts w:hint="eastAsia" w:ascii="宋体" w:hAnsi="宋体" w:eastAsia="宋体" w:cs="宋体"/>
          <w:color w:val="auto"/>
        </w:rPr>
        <w:t>支持评分结果预览、打印、导出PDF文件，用于患者出院后病历归档（支持CA签名显示）；支持至少三种打印方式：评分量表详情打印、评分结果打印、周期合并打印，支持自定义打印模板。评估量表详情打印：打印各评分节点的量表详情和结果；评估结果打印：患者在院所有评估结果汇总打印；周期合并打印：支持同一量表多次评分结果及详情汇总在同一表单中打印，可选择1-7天的评分记录。</w:t>
      </w:r>
    </w:p>
    <w:p w14:paraId="1769885A">
      <w:pPr>
        <w:numPr>
          <w:ilvl w:val="0"/>
          <w:numId w:val="3"/>
        </w:numPr>
        <w:rPr>
          <w:b/>
          <w:bCs/>
          <w:color w:val="auto"/>
        </w:rPr>
      </w:pPr>
      <w:r>
        <w:rPr>
          <w:rFonts w:hint="eastAsia"/>
          <w:b/>
          <w:bCs/>
          <w:color w:val="auto"/>
        </w:rPr>
        <w:t>病人管理</w:t>
      </w:r>
    </w:p>
    <w:p w14:paraId="539C0618">
      <w:pPr>
        <w:numPr>
          <w:ilvl w:val="0"/>
          <w:numId w:val="8"/>
        </w:numPr>
        <w:ind w:left="420" w:hanging="420"/>
        <w:rPr>
          <w:rFonts w:hint="eastAsia" w:ascii="宋体" w:hAnsi="宋体" w:eastAsia="宋体" w:cs="宋体"/>
          <w:color w:val="auto"/>
        </w:rPr>
      </w:pPr>
      <w:r>
        <w:rPr>
          <w:rFonts w:hint="eastAsia" w:ascii="宋体" w:hAnsi="宋体" w:eastAsia="宋体" w:cs="宋体"/>
          <w:color w:val="auto"/>
        </w:rPr>
        <w:t>患者可分类查看新入患者、在院患者、主管患者、出院患者，支持患者列表形式查看，也支持患者床位卡形式查看。</w:t>
      </w:r>
    </w:p>
    <w:p w14:paraId="43782925">
      <w:pPr>
        <w:numPr>
          <w:ilvl w:val="0"/>
          <w:numId w:val="8"/>
        </w:numPr>
        <w:ind w:left="420" w:hanging="420"/>
        <w:rPr>
          <w:rFonts w:hint="eastAsia" w:ascii="宋体" w:hAnsi="宋体" w:eastAsia="宋体" w:cs="宋体"/>
          <w:color w:val="auto"/>
        </w:rPr>
      </w:pPr>
      <w:r>
        <w:rPr>
          <w:rFonts w:hint="eastAsia" w:ascii="宋体" w:hAnsi="宋体" w:eastAsia="宋体" w:cs="宋体"/>
          <w:color w:val="auto"/>
        </w:rPr>
        <w:t>系统可通过颜色和图标对不同人群做标记，明显区分重点人群，标记人群至少包含：VTE风险低、中、高患者、免评估患者等。</w:t>
      </w:r>
    </w:p>
    <w:p w14:paraId="20711725">
      <w:pPr>
        <w:numPr>
          <w:ilvl w:val="0"/>
          <w:numId w:val="8"/>
        </w:numPr>
        <w:ind w:left="420" w:hanging="420"/>
        <w:rPr>
          <w:color w:val="auto"/>
        </w:rPr>
      </w:pPr>
      <w:r>
        <w:rPr>
          <w:rFonts w:hint="eastAsia" w:ascii="宋体" w:hAnsi="宋体" w:eastAsia="宋体" w:cs="宋体"/>
          <w:color w:val="auto"/>
        </w:rPr>
        <w:t>支持患者信息360°查看：支持从扫描记录、转科记录、医嘱、护嘱、评估提醒情况、患者事件日志等多维度对患者住院期间评估及预防情况进行360°核查，可对免评患者判断标准、评估确认完成时间、患者提醒状况监控进行管理，保证数据准确性</w:t>
      </w:r>
    </w:p>
    <w:p w14:paraId="3362977F">
      <w:pPr>
        <w:numPr>
          <w:ilvl w:val="0"/>
          <w:numId w:val="8"/>
        </w:numPr>
        <w:ind w:left="420" w:hanging="420"/>
        <w:rPr>
          <w:color w:val="auto"/>
        </w:rPr>
      </w:pPr>
      <w:r>
        <w:rPr>
          <w:rFonts w:hint="eastAsia" w:ascii="宋体" w:hAnsi="宋体" w:eastAsia="宋体" w:cs="宋体"/>
          <w:color w:val="auto"/>
        </w:rPr>
        <w:t>配套负责接入医院HIS信息系统和护理文书系统的前提下，医生护士在VTE系统内进行相应评估后，VTE风险评估结果和出血风险评估结果信息回传至HIS系统和护理文书系统患者界面，支持通过颜色和图标的方式显示评估结果</w:t>
      </w:r>
    </w:p>
    <w:p w14:paraId="2205BD85">
      <w:pPr>
        <w:numPr>
          <w:ilvl w:val="0"/>
          <w:numId w:val="3"/>
        </w:numPr>
        <w:rPr>
          <w:b/>
          <w:bCs/>
          <w:color w:val="auto"/>
        </w:rPr>
      </w:pPr>
      <w:r>
        <w:rPr>
          <w:rFonts w:hint="eastAsia"/>
          <w:b/>
          <w:bCs/>
          <w:color w:val="auto"/>
        </w:rPr>
        <w:t>系统集成</w:t>
      </w:r>
    </w:p>
    <w:p w14:paraId="6B01EDD1">
      <w:pPr>
        <w:numPr>
          <w:ilvl w:val="0"/>
          <w:numId w:val="9"/>
        </w:numPr>
        <w:ind w:left="420" w:hanging="420"/>
        <w:rPr>
          <w:rFonts w:hint="eastAsia" w:ascii="宋体" w:hAnsi="宋体" w:eastAsia="宋体" w:cs="宋体"/>
          <w:color w:val="auto"/>
        </w:rPr>
      </w:pPr>
      <w:r>
        <w:rPr>
          <w:rFonts w:hint="eastAsia" w:ascii="宋体" w:hAnsi="宋体" w:eastAsia="宋体" w:cs="宋体"/>
          <w:color w:val="auto"/>
        </w:rPr>
        <w:t>系统支持C/S架构，也支持B/S架构，满足医院不同场景使用需要</w:t>
      </w:r>
    </w:p>
    <w:p w14:paraId="4A95F207">
      <w:pPr>
        <w:numPr>
          <w:ilvl w:val="0"/>
          <w:numId w:val="9"/>
        </w:numPr>
        <w:ind w:left="420" w:hanging="420"/>
        <w:rPr>
          <w:rFonts w:hint="eastAsia" w:ascii="宋体" w:hAnsi="宋体" w:eastAsia="宋体" w:cs="宋体"/>
          <w:color w:val="auto"/>
        </w:rPr>
      </w:pPr>
      <w:r>
        <w:rPr>
          <w:rFonts w:hint="eastAsia" w:ascii="宋体" w:hAnsi="宋体" w:eastAsia="宋体" w:cs="宋体"/>
          <w:color w:val="auto"/>
        </w:rPr>
        <w:t>▲可拓展VTE机械预防设备管理工作站功能，实现病人从入院到预防的数据化管理功能。具有对预防过程实时监控与数据记录，以及异常及时报警的功能。</w:t>
      </w:r>
    </w:p>
    <w:p w14:paraId="253BC311">
      <w:pPr>
        <w:numPr>
          <w:ilvl w:val="0"/>
          <w:numId w:val="9"/>
        </w:numPr>
        <w:ind w:left="420" w:hanging="420"/>
        <w:rPr>
          <w:rFonts w:hint="eastAsia" w:ascii="宋体" w:hAnsi="宋体" w:eastAsia="宋体" w:cs="宋体"/>
          <w:color w:val="auto"/>
        </w:rPr>
      </w:pPr>
      <w:r>
        <w:rPr>
          <w:rFonts w:hint="eastAsia" w:ascii="宋体" w:hAnsi="宋体" w:eastAsia="宋体" w:cs="宋体"/>
          <w:color w:val="auto"/>
        </w:rPr>
        <w:t>可拓展的空气波压力循环治疗仪（VTE机械预防设备），便于支持机械预防的全流程云端数据化管理。</w:t>
      </w:r>
    </w:p>
    <w:p w14:paraId="3F7A6DC8">
      <w:pPr>
        <w:numPr>
          <w:ilvl w:val="0"/>
          <w:numId w:val="9"/>
        </w:numPr>
        <w:ind w:left="420" w:hanging="420"/>
        <w:rPr>
          <w:rFonts w:hint="eastAsia" w:ascii="宋体" w:hAnsi="宋体" w:eastAsia="宋体" w:cs="宋体"/>
          <w:color w:val="auto"/>
        </w:rPr>
      </w:pPr>
      <w:r>
        <w:rPr>
          <w:rFonts w:hint="eastAsia" w:ascii="宋体" w:hAnsi="宋体" w:eastAsia="宋体" w:cs="宋体"/>
          <w:color w:val="auto"/>
        </w:rPr>
        <w:t>▲具有静脉血栓（VTE）防控系统相关软件著作权登记证书。</w:t>
      </w:r>
    </w:p>
    <w:p w14:paraId="78A15AE6">
      <w:pPr>
        <w:numPr>
          <w:ilvl w:val="0"/>
          <w:numId w:val="9"/>
        </w:numPr>
        <w:ind w:left="420" w:hanging="420"/>
        <w:rPr>
          <w:rFonts w:hint="eastAsia" w:ascii="宋体" w:hAnsi="宋体" w:eastAsia="宋体" w:cs="宋体"/>
          <w:color w:val="auto"/>
        </w:rPr>
      </w:pPr>
      <w:r>
        <w:rPr>
          <w:rFonts w:hint="eastAsia" w:ascii="宋体" w:hAnsi="宋体" w:eastAsia="宋体" w:cs="宋体"/>
          <w:color w:val="auto"/>
        </w:rPr>
        <w:t>高度可配置化数据集成：可通过OGG技术完成各类异构数据库的实时复制，建立免接口的数据集成方案；通过大数据ETL技术将分散、凌乱、规则不一的数据整合到一起，进行数据仓库的组织建设，支撑VTE、数据分析与挖掘、临床决策支持等上游产品，广泛支持视图、存储过程、webservice、HL7、MQ等全部通用协议接口。</w:t>
      </w:r>
    </w:p>
    <w:p w14:paraId="3DA9D82A">
      <w:pPr>
        <w:numPr>
          <w:ilvl w:val="0"/>
          <w:numId w:val="9"/>
        </w:numPr>
        <w:ind w:left="420" w:hanging="420"/>
        <w:rPr>
          <w:rFonts w:hint="eastAsia" w:ascii="宋体" w:hAnsi="宋体" w:eastAsia="宋体" w:cs="宋体"/>
          <w:color w:val="auto"/>
        </w:rPr>
      </w:pPr>
      <w:r>
        <w:rPr>
          <w:rFonts w:hint="eastAsia" w:ascii="宋体" w:hAnsi="宋体" w:eastAsia="宋体" w:cs="宋体"/>
          <w:color w:val="auto"/>
        </w:rPr>
        <w:t>支持CA签名对接,嵌入HIS或护理文书，自动登陆，自动跳转调用VTE评估系统评分及确认界面。</w:t>
      </w:r>
    </w:p>
    <w:p w14:paraId="1E7F2F23">
      <w:pPr>
        <w:rPr>
          <w:rFonts w:hint="eastAsia" w:ascii="宋体" w:hAnsi="宋体" w:cs="宋体"/>
          <w:b/>
          <w:bCs/>
          <w:color w:val="auto"/>
        </w:rPr>
      </w:pPr>
      <w:r>
        <w:rPr>
          <w:rFonts w:hint="eastAsia" w:ascii="宋体" w:hAnsi="宋体" w:cs="宋体"/>
          <w:b/>
          <w:bCs/>
          <w:color w:val="auto"/>
          <w:lang w:val="en-US" w:eastAsia="zh-CN"/>
        </w:rPr>
        <w:t>8</w:t>
      </w:r>
      <w:r>
        <w:rPr>
          <w:rFonts w:hint="eastAsia" w:ascii="宋体" w:hAnsi="宋体" w:cs="宋体"/>
          <w:b/>
          <w:bCs/>
          <w:color w:val="auto"/>
        </w:rPr>
        <w:t>、★ 配套负责接入医院HIS信息系统和护理文书系统</w:t>
      </w:r>
    </w:p>
    <w:p w14:paraId="1EF7C954">
      <w:pPr>
        <w:rPr>
          <w:rFonts w:hint="eastAsia" w:ascii="宋体" w:hAnsi="宋体" w:cs="宋体"/>
          <w:b/>
          <w:bCs/>
          <w:color w:val="auto"/>
        </w:rPr>
      </w:pPr>
      <w:r>
        <w:rPr>
          <w:rFonts w:hint="eastAsia" w:ascii="宋体" w:hAnsi="宋体" w:cs="宋体"/>
          <w:b/>
          <w:bCs/>
          <w:color w:val="auto"/>
          <w:lang w:val="en-US" w:eastAsia="zh-CN"/>
        </w:rPr>
        <w:t>9</w:t>
      </w:r>
      <w:r>
        <w:rPr>
          <w:rFonts w:hint="eastAsia" w:ascii="宋体" w:hAnsi="宋体" w:cs="宋体"/>
          <w:b/>
          <w:bCs/>
          <w:color w:val="auto"/>
        </w:rPr>
        <w:t>、随访功能</w:t>
      </w:r>
    </w:p>
    <w:p w14:paraId="6B40A69B">
      <w:pPr>
        <w:rPr>
          <w:rFonts w:hint="eastAsia" w:ascii="宋体" w:hAnsi="宋体" w:cs="宋体"/>
          <w:color w:val="auto"/>
        </w:rPr>
      </w:pPr>
      <w:r>
        <w:rPr>
          <w:rFonts w:hint="eastAsia" w:ascii="宋体" w:hAnsi="宋体" w:cs="宋体"/>
          <w:color w:val="auto"/>
        </w:rPr>
        <w:t>1）VTE系统自动根据患者的VTE风险状态、VTE确诊状态和出院时间生成随访任务。可针对VTE不同风险人群设置不同随访周期（如出院后2周、1个月、3个月），可接受随访任务通知及弹窗提醒</w:t>
      </w:r>
    </w:p>
    <w:p w14:paraId="48E1DCDB">
      <w:pPr>
        <w:rPr>
          <w:rFonts w:hint="eastAsia" w:ascii="宋体" w:hAnsi="宋体" w:cs="宋体"/>
          <w:color w:val="auto"/>
        </w:rPr>
      </w:pPr>
      <w:r>
        <w:rPr>
          <w:rFonts w:hint="eastAsia" w:ascii="宋体" w:hAnsi="宋体" w:cs="宋体"/>
          <w:color w:val="auto"/>
        </w:rPr>
        <w:t>2）可按科室、病区维度、所属医生、VTE评分等级等条件查找患者，并支持患者数据导出</w:t>
      </w:r>
    </w:p>
    <w:p w14:paraId="7E5AC56F">
      <w:pPr>
        <w:rPr>
          <w:rFonts w:hint="eastAsia" w:ascii="宋体" w:hAnsi="宋体" w:cs="宋体"/>
          <w:color w:val="auto"/>
        </w:rPr>
      </w:pPr>
      <w:r>
        <w:rPr>
          <w:rFonts w:hint="eastAsia" w:ascii="宋体" w:hAnsi="宋体" w:cs="宋体"/>
          <w:color w:val="auto"/>
        </w:rPr>
        <w:t>3）支持自定义随访表单内容，支持随访表单打印，随访登记页面，可展示患者基础信息、出院医嘱等信息，快速掌握患者情况。</w:t>
      </w:r>
    </w:p>
    <w:p w14:paraId="72D2D4C4">
      <w:pPr>
        <w:rPr>
          <w:rFonts w:hint="eastAsia" w:ascii="宋体" w:hAnsi="宋体" w:cs="宋体"/>
          <w:color w:val="auto"/>
        </w:rPr>
      </w:pPr>
      <w:r>
        <w:rPr>
          <w:rFonts w:hint="eastAsia" w:ascii="宋体" w:hAnsi="宋体" w:cs="宋体"/>
          <w:color w:val="auto"/>
        </w:rPr>
        <w:t>4）可设置随访延期填报天数、随访提醒提前几天提醒，根据医院实际随访情况灵活处理。</w:t>
      </w:r>
    </w:p>
    <w:p w14:paraId="14148243">
      <w:pPr>
        <w:rPr>
          <w:rFonts w:hint="eastAsia" w:ascii="宋体" w:hAnsi="宋体" w:cs="宋体"/>
          <w:color w:val="auto"/>
        </w:rPr>
      </w:pPr>
      <w:r>
        <w:rPr>
          <w:rFonts w:hint="eastAsia" w:ascii="宋体" w:hAnsi="宋体" w:cs="宋体"/>
          <w:color w:val="auto"/>
        </w:rPr>
        <w:t>5）可快捷登记患者随访执行情况、执行时间、执行详情，支持随访记录可查询，可追溯。</w:t>
      </w:r>
    </w:p>
    <w:p w14:paraId="416569BB">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val="0"/>
          <w:bCs w:val="0"/>
          <w:color w:val="auto"/>
          <w:highlight w:val="none"/>
        </w:rPr>
      </w:pPr>
      <w:r>
        <w:rPr>
          <w:rFonts w:hint="eastAsia" w:ascii="宋体" w:hAnsi="宋体" w:cs="宋体"/>
          <w:b/>
          <w:bCs/>
          <w:color w:val="auto"/>
        </w:rPr>
        <w:t>1</w:t>
      </w:r>
      <w:r>
        <w:rPr>
          <w:rFonts w:hint="eastAsia" w:ascii="宋体" w:hAnsi="宋体" w:cs="宋体"/>
          <w:b/>
          <w:bCs/>
          <w:color w:val="auto"/>
          <w:lang w:val="en-US" w:eastAsia="zh-CN"/>
        </w:rPr>
        <w:t>0</w:t>
      </w:r>
      <w:r>
        <w:rPr>
          <w:rFonts w:hint="eastAsia" w:ascii="宋体" w:hAnsi="宋体" w:cs="宋体"/>
          <w:b/>
          <w:bCs/>
          <w:color w:val="auto"/>
        </w:rPr>
        <w:t>、协助申报“全国肺栓塞和深静脉血栓形成防治能力建设项目”优秀单位</w:t>
      </w:r>
      <w:r>
        <w:rPr>
          <w:rFonts w:hint="eastAsia" w:ascii="宋体" w:hAnsi="宋体" w:cs="宋体"/>
          <w:color w:val="auto"/>
        </w:rPr>
        <w:t>。</w:t>
      </w:r>
    </w:p>
    <w:p w14:paraId="62B0F8C3">
      <w:pPr>
        <w:pStyle w:val="8"/>
        <w:ind w:firstLine="422" w:firstLineChars="200"/>
        <w:rPr>
          <w:rFonts w:ascii="宋体" w:hAnsi="宋体" w:cs="宋体"/>
          <w:b/>
          <w:bCs/>
          <w:color w:val="auto"/>
          <w:sz w:val="21"/>
          <w:szCs w:val="21"/>
        </w:rPr>
      </w:pPr>
      <w:r>
        <w:rPr>
          <w:rFonts w:hint="eastAsia"/>
          <w:b/>
          <w:bCs/>
          <w:color w:val="auto"/>
          <w:sz w:val="21"/>
          <w:szCs w:val="21"/>
        </w:rPr>
        <w:t>注：</w:t>
      </w:r>
      <w:r>
        <w:rPr>
          <w:rFonts w:ascii="宋体" w:hAnsi="宋体" w:cs="宋体"/>
          <w:b/>
          <w:bCs/>
          <w:color w:val="auto"/>
          <w:sz w:val="21"/>
          <w:szCs w:val="21"/>
        </w:rPr>
        <w:t>1、采购需求中如果必须引用某一品牌或者生产商才能准确清楚地说明采购项目的技术标准和要求，则视为在引用某一品牌或生产</w:t>
      </w:r>
      <w:r>
        <w:rPr>
          <w:rFonts w:hint="eastAsia" w:ascii="宋体" w:hAnsi="宋体" w:cs="宋体"/>
          <w:b/>
          <w:bCs/>
          <w:color w:val="auto"/>
          <w:sz w:val="21"/>
          <w:szCs w:val="21"/>
          <w:lang w:val="en-US" w:eastAsia="zh-CN"/>
        </w:rPr>
        <w:t>厂家</w:t>
      </w:r>
      <w:r>
        <w:rPr>
          <w:rFonts w:ascii="宋体" w:hAnsi="宋体" w:cs="宋体"/>
          <w:b/>
          <w:bCs/>
          <w:color w:val="auto"/>
          <w:sz w:val="21"/>
          <w:szCs w:val="21"/>
        </w:rPr>
        <w:t>名称前加上“参照或相当于”的字样，并非指向特定生产</w:t>
      </w:r>
      <w:r>
        <w:rPr>
          <w:rFonts w:hint="eastAsia" w:ascii="宋体" w:hAnsi="宋体" w:cs="宋体"/>
          <w:b/>
          <w:bCs/>
          <w:color w:val="auto"/>
          <w:sz w:val="21"/>
          <w:szCs w:val="21"/>
          <w:lang w:val="en-US" w:eastAsia="zh-CN"/>
        </w:rPr>
        <w:t>厂家</w:t>
      </w:r>
      <w:r>
        <w:rPr>
          <w:rFonts w:ascii="宋体" w:hAnsi="宋体" w:cs="宋体"/>
          <w:b/>
          <w:bCs/>
          <w:color w:val="auto"/>
          <w:sz w:val="21"/>
          <w:szCs w:val="21"/>
        </w:rPr>
        <w:t xml:space="preserve">或特定产品。 </w:t>
      </w:r>
    </w:p>
    <w:p w14:paraId="67282880">
      <w:pPr>
        <w:numPr>
          <w:ilvl w:val="0"/>
          <w:numId w:val="0"/>
        </w:numPr>
        <w:bidi w:val="0"/>
        <w:ind w:firstLine="843" w:firstLineChars="400"/>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2、供应商需对以上清单中所列技术指标逐项响应。</w:t>
      </w:r>
    </w:p>
    <w:p w14:paraId="2A4C037B">
      <w:pPr>
        <w:pStyle w:val="2"/>
        <w:numPr>
          <w:ilvl w:val="0"/>
          <w:numId w:val="0"/>
        </w:numPr>
        <w:jc w:val="both"/>
        <w:rPr>
          <w:rFonts w:hint="eastAsia"/>
          <w:color w:val="auto"/>
          <w:lang w:val="en-US" w:eastAsia="zh-CN"/>
        </w:rPr>
      </w:pPr>
      <w:r>
        <w:rPr>
          <w:rFonts w:hint="eastAsia"/>
          <w:color w:val="auto"/>
          <w:lang w:val="en-US" w:eastAsia="zh-CN"/>
        </w:rPr>
        <w:t>三</w:t>
      </w:r>
      <w:r>
        <w:rPr>
          <w:rFonts w:hint="eastAsia"/>
          <w:color w:val="auto"/>
        </w:rPr>
        <w:t>、</w:t>
      </w:r>
      <w:r>
        <w:rPr>
          <w:rFonts w:hint="eastAsia"/>
          <w:color w:val="auto"/>
          <w:lang w:val="en-US" w:eastAsia="zh-CN"/>
        </w:rPr>
        <w:t>服务要求</w:t>
      </w:r>
      <w:bookmarkEnd w:id="3"/>
    </w:p>
    <w:p w14:paraId="225F3950">
      <w:pPr>
        <w:keepNext w:val="0"/>
        <w:keepLines w:val="0"/>
        <w:widowControl/>
        <w:numPr>
          <w:ilvl w:val="0"/>
          <w:numId w:val="0"/>
        </w:numPr>
        <w:suppressLineNumbers w:val="0"/>
        <w:ind w:left="400" w:leftChars="0"/>
        <w:jc w:val="left"/>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售后服务</w:t>
      </w:r>
    </w:p>
    <w:p w14:paraId="5910184F">
      <w:pPr>
        <w:keepNext w:val="0"/>
        <w:keepLines w:val="0"/>
        <w:widowControl/>
        <w:numPr>
          <w:ilvl w:val="0"/>
          <w:numId w:val="10"/>
        </w:numPr>
        <w:suppressLineNumbers w:val="0"/>
        <w:ind w:left="0" w:leftChars="0" w:firstLine="400" w:firstLineChars="0"/>
        <w:jc w:val="left"/>
        <w:rPr>
          <w:rFonts w:ascii="Times New Roman" w:hAnsi="Times New Roman" w:eastAsia="宋体" w:cs="Times New Roman"/>
          <w:color w:val="auto"/>
        </w:rPr>
      </w:pPr>
      <w:r>
        <w:rPr>
          <w:rFonts w:hint="eastAsia" w:ascii="宋体" w:hAnsi="宋体" w:cs="宋体"/>
          <w:color w:val="auto"/>
        </w:rPr>
        <w:t>供应商</w:t>
      </w:r>
      <w:r>
        <w:rPr>
          <w:rFonts w:ascii="宋体" w:hAnsi="宋体" w:cs="宋体"/>
          <w:color w:val="auto"/>
        </w:rPr>
        <w:t>提供的质保</w:t>
      </w:r>
      <w:r>
        <w:rPr>
          <w:rFonts w:hint="eastAsia" w:ascii="宋体" w:hAnsi="宋体" w:cs="宋体"/>
          <w:color w:val="auto"/>
        </w:rPr>
        <w:t>服务</w:t>
      </w:r>
      <w:r>
        <w:rPr>
          <w:rFonts w:ascii="宋体" w:hAnsi="宋体" w:cs="宋体"/>
          <w:color w:val="auto"/>
        </w:rPr>
        <w:t>期应不</w:t>
      </w:r>
      <w:r>
        <w:rPr>
          <w:rFonts w:ascii="宋体" w:hAnsi="宋体" w:cs="宋体"/>
          <w:color w:val="auto"/>
          <w:highlight w:val="none"/>
        </w:rPr>
        <w:t>少于</w:t>
      </w:r>
      <w:r>
        <w:rPr>
          <w:rFonts w:hint="eastAsia" w:ascii="宋体" w:hAnsi="宋体" w:cs="宋体"/>
          <w:color w:val="auto"/>
          <w:highlight w:val="none"/>
          <w:lang w:val="en-US" w:eastAsia="zh-CN"/>
        </w:rPr>
        <w:t>2</w:t>
      </w:r>
      <w:r>
        <w:rPr>
          <w:rFonts w:ascii="宋体" w:hAnsi="宋体" w:cs="宋体"/>
          <w:color w:val="auto"/>
          <w:highlight w:val="none"/>
        </w:rPr>
        <w:t>年</w:t>
      </w:r>
      <w:r>
        <w:rPr>
          <w:rFonts w:ascii="宋体" w:hAnsi="宋体" w:cs="宋体"/>
          <w:color w:val="auto"/>
        </w:rPr>
        <w:t>，</w:t>
      </w:r>
      <w:r>
        <w:rPr>
          <w:rFonts w:hint="eastAsia" w:ascii="宋体" w:hAnsi="宋体" w:cs="宋体"/>
          <w:color w:val="auto"/>
        </w:rPr>
        <w:t>自验收合格之日起计算。质保期内，凡因正常使用出现质量问题，供应商应提供免费维修</w:t>
      </w:r>
      <w:r>
        <w:rPr>
          <w:rFonts w:hint="eastAsia" w:ascii="宋体" w:hAnsi="宋体" w:cs="宋体"/>
          <w:color w:val="auto"/>
          <w:lang w:eastAsia="zh-CN"/>
        </w:rPr>
        <w:t>、</w:t>
      </w:r>
      <w:r>
        <w:rPr>
          <w:rFonts w:hint="eastAsia" w:ascii="宋体" w:hAnsi="宋体" w:cs="宋体"/>
          <w:color w:val="auto"/>
          <w:lang w:val="en-US" w:eastAsia="zh-CN"/>
        </w:rPr>
        <w:t>配件更换</w:t>
      </w:r>
      <w:r>
        <w:rPr>
          <w:rFonts w:hint="eastAsia" w:ascii="宋体" w:hAnsi="宋体" w:cs="宋体"/>
          <w:color w:val="auto"/>
        </w:rPr>
        <w:t>或咨询等服务，承担因此产生的一切费用，并从服务正常使用或更换当日起重新计算质保期。供应商在接到买方故障通知后 2 小时内响应，</w:t>
      </w:r>
      <w:r>
        <w:rPr>
          <w:rFonts w:hint="eastAsia" w:ascii="宋体" w:hAnsi="宋体" w:cs="宋体"/>
          <w:color w:val="auto"/>
          <w:sz w:val="24"/>
          <w:szCs w:val="24"/>
        </w:rPr>
        <w:t>对重大问题提供现场技术支持</w:t>
      </w:r>
      <w:r>
        <w:rPr>
          <w:rFonts w:hint="eastAsia" w:ascii="宋体" w:hAnsi="宋体" w:cs="宋体"/>
          <w:color w:val="auto"/>
          <w:sz w:val="24"/>
          <w:szCs w:val="24"/>
          <w:lang w:eastAsia="zh-CN"/>
        </w:rPr>
        <w:t>，</w:t>
      </w:r>
      <w:r>
        <w:rPr>
          <w:rFonts w:hint="eastAsia" w:ascii="宋体" w:hAnsi="宋体" w:cs="宋体"/>
          <w:color w:val="auto"/>
        </w:rPr>
        <w:t>24小时内到达用户现场并排除缺陷，解决相关问题</w:t>
      </w:r>
      <w:r>
        <w:rPr>
          <w:rFonts w:hint="eastAsia" w:ascii="宋体" w:hAnsi="宋体" w:cs="宋体"/>
          <w:color w:val="auto"/>
          <w:lang w:eastAsia="zh-CN"/>
        </w:rPr>
        <w:t>。问题解决后24小时内，提交问题处理报告，说明问题种类、问题原因、问题解决中使用的方法及造成的损失等情况。免费提供技术培训，并提供甲方要求的所有培训资料。</w:t>
      </w:r>
      <w:r>
        <w:rPr>
          <w:rFonts w:hint="eastAsia" w:ascii="宋体" w:hAnsi="宋体" w:cs="宋体"/>
          <w:color w:val="auto"/>
        </w:rPr>
        <w:t>质保期结束后，供应商仍应负责对</w:t>
      </w:r>
      <w:r>
        <w:rPr>
          <w:rFonts w:hint="eastAsia" w:ascii="宋体" w:hAnsi="宋体" w:cs="宋体"/>
          <w:color w:val="auto"/>
          <w:lang w:val="en-US" w:eastAsia="zh-CN"/>
        </w:rPr>
        <w:t>系统</w:t>
      </w:r>
      <w:r>
        <w:rPr>
          <w:rFonts w:hint="eastAsia" w:ascii="宋体" w:hAnsi="宋体" w:cs="宋体"/>
          <w:color w:val="auto"/>
        </w:rPr>
        <w:t>提供终生维修服务或对服务提供咨询服务，只收取配件成本或服务成本</w:t>
      </w:r>
      <w:r>
        <w:rPr>
          <w:rFonts w:hint="eastAsia"/>
          <w:color w:val="auto"/>
          <w:highlight w:val="none"/>
          <w:lang w:val="en-US" w:eastAsia="zh-CN"/>
        </w:rPr>
        <w:t>。</w:t>
      </w:r>
    </w:p>
    <w:p w14:paraId="61E931F7">
      <w:pPr>
        <w:keepNext w:val="0"/>
        <w:keepLines w:val="0"/>
        <w:widowControl/>
        <w:numPr>
          <w:ilvl w:val="0"/>
          <w:numId w:val="10"/>
        </w:numPr>
        <w:suppressLineNumbers w:val="0"/>
        <w:ind w:left="0" w:leftChars="0" w:firstLine="400" w:firstLineChars="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质保期内，</w:t>
      </w:r>
      <w:r>
        <w:rPr>
          <w:rFonts w:hint="eastAsia" w:cs="Times New Roman"/>
          <w:b w:val="0"/>
          <w:bCs w:val="0"/>
          <w:color w:val="auto"/>
          <w:lang w:eastAsia="zh-CN"/>
        </w:rPr>
        <w:t>成交供应商</w:t>
      </w:r>
      <w:r>
        <w:rPr>
          <w:rFonts w:hint="eastAsia" w:ascii="宋体" w:hAnsi="宋体" w:eastAsia="宋体" w:cs="宋体"/>
          <w:color w:val="auto"/>
          <w:kern w:val="0"/>
          <w:sz w:val="24"/>
          <w:szCs w:val="24"/>
          <w:lang w:val="en-US" w:eastAsia="zh-CN" w:bidi="ar"/>
        </w:rPr>
        <w:t xml:space="preserve">均应提供 </w:t>
      </w:r>
      <w:r>
        <w:rPr>
          <w:rFonts w:hint="default" w:ascii="TimesNewRomanPSMT" w:hAnsi="TimesNewRomanPSMT" w:eastAsia="TimesNewRomanPSMT" w:cs="TimesNewRomanPSMT"/>
          <w:color w:val="auto"/>
          <w:kern w:val="0"/>
          <w:sz w:val="24"/>
          <w:szCs w:val="24"/>
          <w:lang w:val="en-US" w:eastAsia="zh-CN" w:bidi="ar"/>
        </w:rPr>
        <w:t>7</w:t>
      </w:r>
      <w:r>
        <w:rPr>
          <w:rFonts w:hint="eastAsia" w:ascii="宋体" w:hAnsi="宋体" w:eastAsia="宋体" w:cs="宋体"/>
          <w:color w:val="auto"/>
          <w:kern w:val="0"/>
          <w:sz w:val="24"/>
          <w:szCs w:val="24"/>
          <w:lang w:val="en-US" w:eastAsia="zh-CN" w:bidi="ar"/>
        </w:rPr>
        <w:t>×</w:t>
      </w:r>
      <w:r>
        <w:rPr>
          <w:rFonts w:hint="default" w:ascii="TimesNewRomanPSMT" w:hAnsi="TimesNewRomanPSMT" w:eastAsia="TimesNewRomanPSMT" w:cs="TimesNewRomanPSMT"/>
          <w:color w:val="auto"/>
          <w:kern w:val="0"/>
          <w:sz w:val="24"/>
          <w:szCs w:val="24"/>
          <w:lang w:val="en-US" w:eastAsia="zh-CN" w:bidi="ar"/>
        </w:rPr>
        <w:t xml:space="preserve">24 </w:t>
      </w:r>
      <w:r>
        <w:rPr>
          <w:rFonts w:hint="eastAsia" w:ascii="宋体" w:hAnsi="宋体" w:eastAsia="宋体" w:cs="宋体"/>
          <w:color w:val="auto"/>
          <w:kern w:val="0"/>
          <w:sz w:val="24"/>
          <w:szCs w:val="24"/>
          <w:lang w:val="en-US" w:eastAsia="zh-CN" w:bidi="ar"/>
        </w:rPr>
        <w:t>小时技术支持和服务。</w:t>
      </w:r>
    </w:p>
    <w:p w14:paraId="5D52E032">
      <w:pPr>
        <w:rPr>
          <w:rFonts w:hint="eastAsia" w:ascii="Times New Roman" w:hAnsi="Times New Roman" w:eastAsia="宋体" w:cs="Times New Roman"/>
          <w:b/>
          <w:bCs/>
          <w:color w:val="auto"/>
        </w:rPr>
      </w:pPr>
      <w:r>
        <w:rPr>
          <w:rFonts w:hint="eastAsia" w:ascii="Times New Roman" w:hAnsi="Times New Roman" w:eastAsia="宋体" w:cs="Times New Roman"/>
          <w:b/>
          <w:bCs/>
          <w:color w:val="auto"/>
        </w:rPr>
        <w:t>验收</w:t>
      </w:r>
    </w:p>
    <w:p w14:paraId="2CEB1FDD">
      <w:pPr>
        <w:numPr>
          <w:ilvl w:val="0"/>
          <w:numId w:val="11"/>
        </w:numPr>
        <w:bidi w:val="0"/>
        <w:ind w:left="0" w:leftChars="0" w:firstLine="400" w:firstLineChars="0"/>
        <w:rPr>
          <w:rFonts w:hint="eastAsia" w:ascii="Times New Roman" w:hAnsi="Times New Roman" w:eastAsia="宋体" w:cs="Times New Roman"/>
          <w:color w:val="auto"/>
          <w:lang w:val="en-US" w:eastAsia="zh-CN"/>
        </w:rPr>
      </w:pPr>
      <w:r>
        <w:rPr>
          <w:rFonts w:hint="eastAsia" w:cs="Times New Roman"/>
          <w:b w:val="0"/>
          <w:bCs w:val="0"/>
          <w:color w:val="auto"/>
          <w:lang w:eastAsia="zh-CN"/>
        </w:rPr>
        <w:t>成交供应商</w:t>
      </w:r>
      <w:r>
        <w:rPr>
          <w:rFonts w:hint="eastAsia" w:ascii="Times New Roman" w:hAnsi="Times New Roman" w:eastAsia="宋体" w:cs="Times New Roman"/>
          <w:color w:val="auto"/>
          <w:lang w:val="en-US" w:eastAsia="zh-CN"/>
        </w:rPr>
        <w:t>书面提出验收申请，经采购人同意后，采购人与</w:t>
      </w:r>
      <w:r>
        <w:rPr>
          <w:rFonts w:hint="eastAsia" w:cs="Times New Roman"/>
          <w:b w:val="0"/>
          <w:bCs w:val="0"/>
          <w:color w:val="auto"/>
          <w:lang w:eastAsia="zh-CN"/>
        </w:rPr>
        <w:t>成交供应商</w:t>
      </w:r>
      <w:r>
        <w:rPr>
          <w:rFonts w:hint="eastAsia" w:ascii="Times New Roman" w:hAnsi="Times New Roman" w:eastAsia="宋体" w:cs="Times New Roman"/>
          <w:color w:val="auto"/>
          <w:lang w:val="en-US" w:eastAsia="zh-CN"/>
        </w:rPr>
        <w:t>双方共同按</w:t>
      </w:r>
      <w:r>
        <w:rPr>
          <w:rFonts w:hint="eastAsia" w:cs="Times New Roman"/>
          <w:color w:val="auto"/>
          <w:lang w:val="en-US" w:eastAsia="zh-CN"/>
        </w:rPr>
        <w:t>谈判</w:t>
      </w:r>
      <w:r>
        <w:rPr>
          <w:rFonts w:hint="eastAsia" w:ascii="Times New Roman" w:hAnsi="Times New Roman" w:eastAsia="宋体" w:cs="Times New Roman"/>
          <w:color w:val="auto"/>
          <w:lang w:val="en-US" w:eastAsia="zh-CN"/>
        </w:rPr>
        <w:t>文件和国家或行业相关标准，进行最终验收。</w:t>
      </w:r>
    </w:p>
    <w:p w14:paraId="44283FA5">
      <w:pPr>
        <w:numPr>
          <w:ilvl w:val="0"/>
          <w:numId w:val="11"/>
        </w:numPr>
        <w:bidi w:val="0"/>
        <w:ind w:left="0" w:leftChars="0" w:firstLine="400" w:firstLineChars="0"/>
        <w:rPr>
          <w:rFonts w:hint="eastAsia" w:ascii="Times New Roman" w:hAnsi="Times New Roman" w:eastAsia="宋体" w:cs="Times New Roman"/>
          <w:color w:val="auto"/>
          <w:lang w:val="en-US" w:eastAsia="zh-CN"/>
        </w:rPr>
      </w:pPr>
      <w:r>
        <w:rPr>
          <w:rFonts w:hint="eastAsia" w:cs="Times New Roman"/>
          <w:b w:val="0"/>
          <w:bCs w:val="0"/>
          <w:color w:val="auto"/>
          <w:lang w:eastAsia="zh-CN"/>
        </w:rPr>
        <w:t>成交供应商</w:t>
      </w:r>
      <w:r>
        <w:rPr>
          <w:rFonts w:hint="eastAsia" w:ascii="Times New Roman" w:hAnsi="Times New Roman" w:eastAsia="宋体" w:cs="Times New Roman"/>
          <w:color w:val="auto"/>
          <w:lang w:val="en-US" w:eastAsia="zh-CN"/>
        </w:rPr>
        <w:t>应负责在验收时将全部有关技术文件、资料、验收报告等文档汇集成册交付采购人。</w:t>
      </w:r>
    </w:p>
    <w:p w14:paraId="4DC4E616">
      <w:pPr>
        <w:ind w:firstLine="482" w:firstLineChars="200"/>
        <w:rPr>
          <w:rFonts w:hint="eastAsia" w:ascii="Times New Roman" w:hAnsi="Times New Roman" w:eastAsia="宋体" w:cs="Times New Roman"/>
          <w:b/>
          <w:bCs/>
          <w:color w:val="auto"/>
          <w:lang w:eastAsia="zh-CN"/>
        </w:rPr>
      </w:pPr>
      <w:r>
        <w:rPr>
          <w:rFonts w:hint="eastAsia" w:ascii="Times New Roman" w:hAnsi="Times New Roman" w:eastAsia="宋体" w:cs="Times New Roman"/>
          <w:b/>
          <w:bCs/>
          <w:color w:val="auto"/>
          <w:lang w:eastAsia="zh-CN"/>
        </w:rPr>
        <w:t>其他要求</w:t>
      </w:r>
    </w:p>
    <w:p w14:paraId="7618AE24">
      <w:pPr>
        <w:keepNext w:val="0"/>
        <w:keepLines w:val="0"/>
        <w:widowControl/>
        <w:numPr>
          <w:ilvl w:val="0"/>
          <w:numId w:val="12"/>
        </w:numPr>
        <w:suppressLineNumbers w:val="0"/>
        <w:ind w:left="0" w:leftChars="0" w:firstLine="400" w:firstLineChars="0"/>
        <w:jc w:val="left"/>
        <w:rPr>
          <w:rFonts w:ascii="Times New Roman" w:hAnsi="Times New Roman" w:eastAsia="宋体" w:cs="Times New Roman"/>
          <w:color w:val="auto"/>
        </w:rPr>
      </w:pPr>
      <w:r>
        <w:rPr>
          <w:rFonts w:hint="eastAsia" w:ascii="宋体" w:hAnsi="宋体" w:cs="宋体"/>
          <w:color w:val="auto"/>
          <w:kern w:val="0"/>
          <w:sz w:val="24"/>
          <w:szCs w:val="24"/>
          <w:lang w:val="en-US" w:eastAsia="zh-CN" w:bidi="ar"/>
        </w:rPr>
        <w:t>供应商</w:t>
      </w:r>
      <w:r>
        <w:rPr>
          <w:rFonts w:hint="eastAsia" w:ascii="宋体" w:hAnsi="宋体" w:eastAsia="宋体" w:cs="宋体"/>
          <w:color w:val="auto"/>
          <w:kern w:val="0"/>
          <w:sz w:val="24"/>
          <w:szCs w:val="24"/>
          <w:lang w:val="en-US" w:eastAsia="zh-CN" w:bidi="ar"/>
        </w:rPr>
        <w:t>应根据实际功能、性能、相关证明文件等全部资料编制</w:t>
      </w:r>
      <w:r>
        <w:rPr>
          <w:rFonts w:hint="eastAsia" w:ascii="宋体" w:hAnsi="宋体" w:cs="宋体"/>
          <w:color w:val="auto"/>
          <w:kern w:val="0"/>
          <w:sz w:val="24"/>
          <w:szCs w:val="24"/>
          <w:lang w:val="en-US" w:eastAsia="zh-CN" w:bidi="ar"/>
        </w:rPr>
        <w:t>响应</w:t>
      </w:r>
      <w:r>
        <w:rPr>
          <w:rFonts w:hint="eastAsia" w:ascii="宋体" w:hAnsi="宋体" w:eastAsia="宋体" w:cs="宋体"/>
          <w:color w:val="auto"/>
          <w:kern w:val="0"/>
          <w:sz w:val="24"/>
          <w:szCs w:val="24"/>
          <w:lang w:val="en-US" w:eastAsia="zh-CN" w:bidi="ar"/>
        </w:rPr>
        <w:t>文件，不得有虚假应答或提供虚假证明文件。采购人有权对</w:t>
      </w:r>
      <w:r>
        <w:rPr>
          <w:rFonts w:hint="eastAsia" w:ascii="宋体" w:hAnsi="宋体" w:cs="宋体"/>
          <w:color w:val="auto"/>
          <w:kern w:val="0"/>
          <w:sz w:val="24"/>
          <w:szCs w:val="24"/>
          <w:lang w:val="en-US" w:eastAsia="zh-CN" w:bidi="ar"/>
        </w:rPr>
        <w:t>供应商</w:t>
      </w:r>
      <w:r>
        <w:rPr>
          <w:rFonts w:hint="eastAsia" w:ascii="宋体" w:hAnsi="宋体" w:eastAsia="宋体" w:cs="宋体"/>
          <w:color w:val="auto"/>
          <w:kern w:val="0"/>
          <w:sz w:val="24"/>
          <w:szCs w:val="24"/>
          <w:lang w:val="en-US" w:eastAsia="zh-CN" w:bidi="ar"/>
        </w:rPr>
        <w:t>功能、性能、相关证明文件等进行委托测试或核实，如有发现与</w:t>
      </w:r>
      <w:r>
        <w:rPr>
          <w:rFonts w:hint="eastAsia" w:ascii="宋体" w:hAnsi="宋体" w:cs="宋体"/>
          <w:color w:val="auto"/>
          <w:kern w:val="0"/>
          <w:sz w:val="24"/>
          <w:szCs w:val="24"/>
          <w:lang w:val="en-US" w:eastAsia="zh-CN" w:bidi="ar"/>
        </w:rPr>
        <w:t>响应</w:t>
      </w:r>
      <w:r>
        <w:rPr>
          <w:rFonts w:hint="eastAsia" w:ascii="宋体" w:hAnsi="宋体" w:eastAsia="宋体" w:cs="宋体"/>
          <w:color w:val="auto"/>
          <w:kern w:val="0"/>
          <w:sz w:val="24"/>
          <w:szCs w:val="24"/>
          <w:lang w:val="en-US" w:eastAsia="zh-CN" w:bidi="ar"/>
        </w:rPr>
        <w:t>文件所表示存在差异或不实的，</w:t>
      </w:r>
      <w:r>
        <w:rPr>
          <w:rFonts w:hint="eastAsia" w:ascii="宋体" w:hAnsi="宋体" w:cs="宋体"/>
          <w:color w:val="auto"/>
          <w:kern w:val="0"/>
          <w:sz w:val="24"/>
          <w:szCs w:val="24"/>
          <w:lang w:val="en-US" w:eastAsia="zh-CN" w:bidi="ar"/>
        </w:rPr>
        <w:t>供应商</w:t>
      </w:r>
      <w:r>
        <w:rPr>
          <w:rFonts w:hint="eastAsia" w:ascii="宋体" w:hAnsi="宋体" w:eastAsia="宋体" w:cs="宋体"/>
          <w:color w:val="auto"/>
          <w:kern w:val="0"/>
          <w:sz w:val="24"/>
          <w:szCs w:val="24"/>
          <w:lang w:val="en-US" w:eastAsia="zh-CN" w:bidi="ar"/>
        </w:rPr>
        <w:t>将承担由此带来的法律后果。</w:t>
      </w:r>
    </w:p>
    <w:p w14:paraId="302E2CB3">
      <w:pPr>
        <w:keepNext w:val="0"/>
        <w:keepLines w:val="0"/>
        <w:widowControl/>
        <w:numPr>
          <w:ilvl w:val="0"/>
          <w:numId w:val="12"/>
        </w:numPr>
        <w:suppressLineNumbers w:val="0"/>
        <w:ind w:left="0" w:leftChars="0" w:firstLine="400" w:firstLineChars="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不合格的产品将被拒绝，采购人有权不予支付任何费用并追究其责任。</w:t>
      </w:r>
    </w:p>
    <w:p w14:paraId="4483F908">
      <w:pPr>
        <w:numPr>
          <w:ilvl w:val="0"/>
          <w:numId w:val="12"/>
        </w:numPr>
        <w:ind w:left="0" w:leftChars="0" w:firstLine="400" w:firstLineChars="0"/>
        <w:rPr>
          <w:rFonts w:hint="default"/>
          <w:color w:val="auto"/>
          <w:lang w:val="en-US" w:eastAsia="zh-CN"/>
        </w:rPr>
      </w:pPr>
      <w:r>
        <w:rPr>
          <w:rFonts w:hint="eastAsia" w:ascii="宋体" w:hAnsi="宋体" w:cs="宋体"/>
          <w:color w:val="auto"/>
          <w:kern w:val="0"/>
          <w:sz w:val="24"/>
          <w:szCs w:val="24"/>
          <w:lang w:val="en-US" w:eastAsia="zh-CN" w:bidi="ar"/>
        </w:rPr>
        <w:t>供应商</w:t>
      </w:r>
      <w:r>
        <w:rPr>
          <w:rFonts w:hint="eastAsia" w:ascii="宋体" w:hAnsi="宋体" w:eastAsia="宋体" w:cs="宋体"/>
          <w:color w:val="auto"/>
          <w:kern w:val="0"/>
          <w:sz w:val="24"/>
          <w:szCs w:val="24"/>
          <w:lang w:val="en-US" w:eastAsia="zh-CN" w:bidi="ar"/>
        </w:rPr>
        <w:t>必须保证</w:t>
      </w:r>
      <w:r>
        <w:rPr>
          <w:rFonts w:hint="eastAsia" w:ascii="宋体" w:hAnsi="宋体" w:cs="宋体"/>
          <w:color w:val="auto"/>
          <w:kern w:val="0"/>
          <w:sz w:val="24"/>
          <w:szCs w:val="24"/>
          <w:lang w:val="en-US" w:eastAsia="zh-CN" w:bidi="ar"/>
        </w:rPr>
        <w:t>响应</w:t>
      </w:r>
      <w:r>
        <w:rPr>
          <w:rFonts w:hint="eastAsia" w:ascii="宋体" w:hAnsi="宋体" w:eastAsia="宋体" w:cs="宋体"/>
          <w:color w:val="auto"/>
          <w:kern w:val="0"/>
          <w:sz w:val="24"/>
          <w:szCs w:val="24"/>
          <w:lang w:val="en-US" w:eastAsia="zh-CN" w:bidi="ar"/>
        </w:rPr>
        <w:t>文件所提供资料的真实性、准确性及来源合法性，采购人有权要求</w:t>
      </w:r>
      <w:r>
        <w:rPr>
          <w:rFonts w:hint="eastAsia" w:ascii="宋体" w:hAnsi="宋体" w:cs="宋体"/>
          <w:color w:val="auto"/>
          <w:kern w:val="0"/>
          <w:sz w:val="24"/>
          <w:szCs w:val="24"/>
          <w:lang w:val="en-US" w:eastAsia="zh-CN" w:bidi="ar"/>
        </w:rPr>
        <w:t>供应商</w:t>
      </w:r>
      <w:r>
        <w:rPr>
          <w:rFonts w:hint="eastAsia" w:ascii="宋体" w:hAnsi="宋体" w:eastAsia="宋体" w:cs="宋体"/>
          <w:color w:val="auto"/>
          <w:kern w:val="0"/>
          <w:sz w:val="24"/>
          <w:szCs w:val="24"/>
          <w:lang w:val="en-US" w:eastAsia="zh-CN" w:bidi="ar"/>
        </w:rPr>
        <w:t>出具相关证书（包括但不限于资质证明文件、检测报告、技术证明文件、资格证书等）的原件，如发现有所不符，</w:t>
      </w:r>
      <w:r>
        <w:rPr>
          <w:rFonts w:hint="eastAsia" w:ascii="宋体" w:hAnsi="宋体" w:cs="宋体"/>
          <w:color w:val="auto"/>
          <w:kern w:val="0"/>
          <w:sz w:val="24"/>
          <w:szCs w:val="24"/>
          <w:lang w:val="en-US" w:eastAsia="zh-CN" w:bidi="ar"/>
        </w:rPr>
        <w:t>供应商</w:t>
      </w:r>
      <w:r>
        <w:rPr>
          <w:rFonts w:hint="eastAsia" w:ascii="宋体" w:hAnsi="宋体" w:eastAsia="宋体" w:cs="宋体"/>
          <w:color w:val="auto"/>
          <w:kern w:val="0"/>
          <w:sz w:val="24"/>
          <w:szCs w:val="24"/>
          <w:lang w:val="en-US" w:eastAsia="zh-CN" w:bidi="ar"/>
        </w:rPr>
        <w:t>自行承担法律责任。</w:t>
      </w:r>
    </w:p>
    <w:p w14:paraId="3A6A2D83">
      <w:pPr>
        <w:numPr>
          <w:ilvl w:val="0"/>
          <w:numId w:val="12"/>
        </w:numPr>
        <w:ind w:left="0" w:leftChars="0" w:firstLine="400" w:firstLineChars="0"/>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其他未尽事宜在合同中具体约定。</w:t>
      </w:r>
    </w:p>
    <w:p w14:paraId="4BC605AE">
      <w:pPr>
        <w:pStyle w:val="2"/>
        <w:ind w:left="420"/>
        <w:jc w:val="both"/>
        <w:rPr>
          <w:rFonts w:hint="eastAsia"/>
          <w:color w:val="auto"/>
        </w:rPr>
      </w:pPr>
      <w:bookmarkStart w:id="4" w:name="_Toc9480"/>
      <w:bookmarkStart w:id="5" w:name="_Toc25472"/>
      <w:r>
        <w:rPr>
          <w:rFonts w:hint="eastAsia" w:ascii="宋体" w:hAnsi="宋体" w:cs="宋体"/>
          <w:color w:val="auto"/>
          <w:lang w:val="en-US" w:eastAsia="zh-CN"/>
        </w:rPr>
        <w:t>四</w:t>
      </w:r>
      <w:r>
        <w:rPr>
          <w:rFonts w:hint="eastAsia" w:ascii="宋体" w:hAnsi="宋体" w:cs="宋体"/>
          <w:color w:val="auto"/>
        </w:rPr>
        <w:t>、</w:t>
      </w:r>
      <w:r>
        <w:rPr>
          <w:rFonts w:hint="eastAsia"/>
          <w:color w:val="auto"/>
        </w:rPr>
        <w:t>合同履行期限</w:t>
      </w:r>
      <w:r>
        <w:rPr>
          <w:rFonts w:hint="eastAsia" w:ascii="宋体" w:hAnsi="宋体" w:cs="宋体"/>
          <w:color w:val="auto"/>
        </w:rPr>
        <w:t>、履约地点、履约方式</w:t>
      </w:r>
      <w:r>
        <w:rPr>
          <w:rFonts w:hint="eastAsia"/>
          <w:color w:val="auto"/>
        </w:rPr>
        <w:t>：</w:t>
      </w:r>
      <w:bookmarkEnd w:id="4"/>
      <w:bookmarkEnd w:id="5"/>
    </w:p>
    <w:p w14:paraId="16A8B4A9">
      <w:pPr>
        <w:ind w:firstLine="480"/>
        <w:rPr>
          <w:rFonts w:hint="eastAsia" w:ascii="宋体" w:hAnsi="宋体" w:eastAsia="宋体" w:cs="宋体"/>
          <w:color w:val="auto"/>
          <w:highlight w:val="none"/>
          <w:lang w:eastAsia="zh-CN"/>
        </w:rPr>
      </w:pPr>
      <w:r>
        <w:rPr>
          <w:rFonts w:hint="eastAsia" w:ascii="宋体" w:hAnsi="宋体" w:cs="宋体"/>
          <w:color w:val="auto"/>
          <w:highlight w:val="none"/>
        </w:rPr>
        <w:t>1.合同履行期限：合同签订后，90天内交付安装完成</w:t>
      </w:r>
      <w:r>
        <w:rPr>
          <w:rFonts w:hint="eastAsia" w:ascii="宋体" w:hAnsi="宋体" w:eastAsia="宋体" w:cs="宋体"/>
          <w:color w:val="auto"/>
          <w:highlight w:val="none"/>
        </w:rPr>
        <w:t>。</w:t>
      </w:r>
    </w:p>
    <w:p w14:paraId="53DE724C">
      <w:pPr>
        <w:ind w:firstLine="424" w:firstLineChars="177"/>
        <w:rPr>
          <w:rFonts w:hint="eastAsia" w:ascii="宋体" w:hAnsi="宋体" w:eastAsia="宋体" w:cs="宋体"/>
          <w:color w:val="auto"/>
          <w:highlight w:val="none"/>
          <w:lang w:eastAsia="zh-CN"/>
        </w:rPr>
      </w:pPr>
      <w:r>
        <w:rPr>
          <w:rFonts w:hint="eastAsia" w:ascii="宋体" w:hAnsi="宋体" w:cs="宋体"/>
          <w:color w:val="auto"/>
          <w:highlight w:val="none"/>
        </w:rPr>
        <w:t>2.履约地点：采购人指定地点</w:t>
      </w:r>
      <w:r>
        <w:rPr>
          <w:rFonts w:hint="eastAsia" w:ascii="宋体" w:hAnsi="宋体" w:cs="宋体"/>
          <w:color w:val="auto"/>
          <w:highlight w:val="none"/>
          <w:lang w:eastAsia="zh-CN"/>
        </w:rPr>
        <w:t>。</w:t>
      </w:r>
    </w:p>
    <w:p w14:paraId="46E04936">
      <w:pPr>
        <w:ind w:firstLine="424" w:firstLineChars="177"/>
        <w:rPr>
          <w:rFonts w:hint="eastAsia" w:ascii="宋体" w:hAnsi="宋体" w:cs="宋体"/>
          <w:color w:val="auto"/>
          <w:highlight w:val="none"/>
        </w:rPr>
      </w:pPr>
      <w:r>
        <w:rPr>
          <w:rFonts w:hint="eastAsia" w:ascii="宋体" w:hAnsi="宋体" w:cs="宋体"/>
          <w:color w:val="auto"/>
          <w:highlight w:val="none"/>
        </w:rPr>
        <w:t>3.履约方式：由成交供应商负责到采购</w:t>
      </w:r>
      <w:r>
        <w:rPr>
          <w:rFonts w:hint="eastAsia" w:ascii="宋体" w:hAnsi="宋体" w:cs="宋体"/>
          <w:color w:val="auto"/>
          <w:highlight w:val="none"/>
          <w:lang w:val="en-US" w:eastAsia="zh-CN"/>
        </w:rPr>
        <w:t>人</w:t>
      </w:r>
      <w:r>
        <w:rPr>
          <w:rFonts w:hint="eastAsia" w:ascii="宋体" w:hAnsi="宋体" w:cs="宋体"/>
          <w:color w:val="auto"/>
          <w:highlight w:val="none"/>
        </w:rPr>
        <w:t>指定地点</w:t>
      </w:r>
      <w:r>
        <w:rPr>
          <w:rFonts w:hint="eastAsia" w:ascii="宋体" w:hAnsi="宋体" w:cs="宋体"/>
          <w:color w:val="auto"/>
          <w:highlight w:val="none"/>
          <w:lang w:val="en-US" w:eastAsia="zh-CN"/>
        </w:rPr>
        <w:t>进行安装</w:t>
      </w:r>
      <w:r>
        <w:rPr>
          <w:rFonts w:hint="eastAsia" w:ascii="宋体" w:hAnsi="宋体" w:cs="宋体"/>
          <w:color w:val="auto"/>
          <w:highlight w:val="none"/>
        </w:rPr>
        <w:t>。</w:t>
      </w:r>
    </w:p>
    <w:p w14:paraId="36071CD2">
      <w:pPr>
        <w:pStyle w:val="2"/>
        <w:ind w:left="420"/>
        <w:jc w:val="left"/>
        <w:rPr>
          <w:rFonts w:hint="eastAsia"/>
          <w:color w:val="auto"/>
        </w:rPr>
      </w:pPr>
      <w:bookmarkStart w:id="6" w:name="_Toc31033"/>
      <w:bookmarkStart w:id="7" w:name="_Toc22038"/>
      <w:bookmarkStart w:id="8" w:name="_Toc20145"/>
      <w:r>
        <w:rPr>
          <w:rFonts w:hint="eastAsia"/>
          <w:color w:val="auto"/>
          <w:lang w:val="en-US" w:eastAsia="zh-CN"/>
        </w:rPr>
        <w:t>五</w:t>
      </w:r>
      <w:r>
        <w:rPr>
          <w:rFonts w:hint="eastAsia"/>
          <w:color w:val="auto"/>
        </w:rPr>
        <w:t>、付款时间、方式及条件：</w:t>
      </w:r>
      <w:bookmarkEnd w:id="6"/>
      <w:bookmarkEnd w:id="7"/>
      <w:bookmarkEnd w:id="8"/>
    </w:p>
    <w:p w14:paraId="6EB0CB1B">
      <w:pPr>
        <w:rPr>
          <w:rFonts w:hint="default" w:eastAsia="宋体"/>
          <w:color w:val="auto"/>
          <w:lang w:val="en-US" w:eastAsia="zh-CN"/>
        </w:rPr>
      </w:pPr>
      <w:r>
        <w:rPr>
          <w:rFonts w:hint="eastAsia"/>
          <w:color w:val="auto"/>
          <w:lang w:val="en-US" w:eastAsia="zh-CN"/>
        </w:rPr>
        <w:t>采购人与成交供应商签订合同时具体约定。</w:t>
      </w:r>
    </w:p>
    <w:p w14:paraId="46E03C44">
      <w:pPr>
        <w:pStyle w:val="2"/>
        <w:ind w:left="420"/>
        <w:jc w:val="left"/>
        <w:rPr>
          <w:rFonts w:hint="eastAsia"/>
          <w:color w:val="auto"/>
        </w:rPr>
      </w:pPr>
      <w:bookmarkStart w:id="9" w:name="_Toc26652"/>
      <w:bookmarkStart w:id="10" w:name="_Toc481"/>
      <w:r>
        <w:rPr>
          <w:rFonts w:hint="eastAsia"/>
          <w:color w:val="auto"/>
          <w:lang w:val="en-US" w:eastAsia="zh-CN"/>
        </w:rPr>
        <w:t>六</w:t>
      </w:r>
      <w:r>
        <w:rPr>
          <w:rFonts w:hint="eastAsia"/>
          <w:color w:val="auto"/>
        </w:rPr>
        <w:t>、其他要求</w:t>
      </w:r>
      <w:bookmarkEnd w:id="9"/>
      <w:bookmarkEnd w:id="10"/>
    </w:p>
    <w:p w14:paraId="5641675B">
      <w:pPr>
        <w:numPr>
          <w:ilvl w:val="0"/>
          <w:numId w:val="13"/>
        </w:numPr>
        <w:tabs>
          <w:tab w:val="left" w:pos="454"/>
        </w:tabs>
        <w:ind w:left="0" w:firstLineChars="0"/>
        <w:rPr>
          <w:rFonts w:hint="eastAsia"/>
          <w:color w:val="auto"/>
        </w:rPr>
      </w:pPr>
      <w:r>
        <w:rPr>
          <w:rFonts w:hint="eastAsia"/>
          <w:color w:val="auto"/>
        </w:rPr>
        <w:t>项目的实质性要求：按本磋商文件要求和成交供应商响应文件内容实施。</w:t>
      </w:r>
    </w:p>
    <w:p w14:paraId="7A8163E4">
      <w:pPr>
        <w:numPr>
          <w:ilvl w:val="0"/>
          <w:numId w:val="13"/>
        </w:numPr>
        <w:tabs>
          <w:tab w:val="left" w:pos="454"/>
        </w:tabs>
        <w:ind w:left="0" w:firstLineChars="0"/>
        <w:rPr>
          <w:rFonts w:hint="eastAsia"/>
          <w:color w:val="auto"/>
        </w:rPr>
      </w:pPr>
      <w:r>
        <w:rPr>
          <w:rFonts w:hint="eastAsia"/>
          <w:color w:val="auto"/>
        </w:rPr>
        <w:t>合同的实质性条款：采购人与成交供应商的名称和住所、标的、数量、质量、价款或者报酬、履行期限及地点和方式、验收要求、违约责任、解决争议的方法等内容。</w:t>
      </w:r>
    </w:p>
    <w:p w14:paraId="3A72ECE4">
      <w:pPr>
        <w:numPr>
          <w:ilvl w:val="0"/>
          <w:numId w:val="13"/>
        </w:numPr>
        <w:tabs>
          <w:tab w:val="left" w:pos="454"/>
        </w:tabs>
        <w:ind w:left="0" w:firstLineChars="0"/>
        <w:rPr>
          <w:rFonts w:hint="eastAsia"/>
          <w:color w:val="auto"/>
        </w:rPr>
      </w:pPr>
      <w:r>
        <w:rPr>
          <w:rFonts w:hint="eastAsia"/>
          <w:color w:val="auto"/>
        </w:rPr>
        <w:t>验收方法及标准：符合国家、地方和行业的相关政策、法规。</w:t>
      </w:r>
    </w:p>
    <w:p w14:paraId="6858D664">
      <w:pPr>
        <w:numPr>
          <w:ilvl w:val="0"/>
          <w:numId w:val="13"/>
        </w:numPr>
        <w:tabs>
          <w:tab w:val="left" w:pos="454"/>
        </w:tabs>
        <w:ind w:left="0" w:firstLineChars="0"/>
        <w:rPr>
          <w:rFonts w:hint="eastAsia"/>
          <w:color w:val="auto"/>
        </w:rPr>
      </w:pPr>
      <w:r>
        <w:rPr>
          <w:rFonts w:hint="eastAsia"/>
          <w:color w:val="auto"/>
        </w:rPr>
        <w:t>安全标准：符合国家、地方和行业的相关政策、法规。</w:t>
      </w:r>
    </w:p>
    <w:p w14:paraId="31697206">
      <w:pPr>
        <w:pStyle w:val="4"/>
        <w:numPr>
          <w:ilvl w:val="0"/>
          <w:numId w:val="13"/>
        </w:numPr>
        <w:ind w:left="0" w:firstLineChars="0"/>
        <w:rPr>
          <w:color w:val="auto"/>
        </w:rPr>
      </w:pPr>
      <w:r>
        <w:rPr>
          <w:rFonts w:hint="eastAsia"/>
          <w:color w:val="auto"/>
        </w:rPr>
        <w:t>法律法规规定的强制性标准：无。</w:t>
      </w:r>
    </w:p>
    <w:p w14:paraId="3BEC41F7">
      <w:pPr>
        <w:pStyle w:val="4"/>
        <w:ind w:left="0" w:leftChars="0" w:firstLine="241" w:firstLineChars="100"/>
        <w:rPr>
          <w:rFonts w:hint="eastAsia"/>
          <w:b/>
          <w:bCs/>
          <w:color w:val="auto"/>
        </w:rPr>
      </w:pPr>
      <w:r>
        <w:rPr>
          <w:rFonts w:hint="eastAsia" w:ascii="宋体" w:hAnsi="宋体" w:cs="宋体"/>
          <w:b/>
          <w:bCs/>
          <w:color w:val="auto"/>
          <w:sz w:val="24"/>
          <w:lang w:val="en-US" w:eastAsia="zh-CN"/>
        </w:rPr>
        <w:t>注：采购需求中标“</w:t>
      </w:r>
      <w:r>
        <w:rPr>
          <w:rFonts w:hint="eastAsia" w:ascii="宋体" w:hAnsi="宋体" w:eastAsia="宋体" w:cs="宋体"/>
          <w:color w:val="auto"/>
          <w:spacing w:val="-7"/>
          <w:w w:val="99"/>
          <w:sz w:val="24"/>
          <w:szCs w:val="24"/>
          <w:lang w:val="en-GB"/>
        </w:rPr>
        <w:t>★</w:t>
      </w:r>
      <w:r>
        <w:rPr>
          <w:rFonts w:hint="eastAsia" w:ascii="宋体" w:hAnsi="宋体" w:cs="宋体"/>
          <w:b/>
          <w:bCs/>
          <w:color w:val="auto"/>
          <w:sz w:val="24"/>
          <w:lang w:val="en-US" w:eastAsia="zh-CN"/>
        </w:rPr>
        <w:t>”为实质性响应项，供应商未响应视为无效响应，应予废标。</w:t>
      </w:r>
    </w:p>
    <w:p w14:paraId="3F5031C9">
      <w:pPr>
        <w:pStyle w:val="4"/>
        <w:ind w:firstLine="482"/>
        <w:rPr>
          <w:rFonts w:hint="eastAsia"/>
          <w:b/>
          <w:bCs/>
          <w:color w:val="auto"/>
        </w:rPr>
      </w:pPr>
      <w:r>
        <w:rPr>
          <w:rFonts w:hint="eastAsia"/>
          <w:b/>
          <w:bCs/>
          <w:color w:val="auto"/>
          <w:lang w:val="en-US" w:eastAsia="zh-CN"/>
        </w:rPr>
        <w:t>本项目预算金额：350000.00元，供应商报价超过此预算的按无效响应处理。供应商报价</w:t>
      </w:r>
      <w:r>
        <w:rPr>
          <w:rFonts w:hint="eastAsia"/>
          <w:b/>
          <w:bCs/>
          <w:color w:val="auto"/>
        </w:rPr>
        <w:t>包括了</w:t>
      </w:r>
      <w:r>
        <w:rPr>
          <w:rFonts w:hint="eastAsia"/>
          <w:b/>
          <w:bCs/>
          <w:color w:val="auto"/>
          <w:lang w:val="en-US" w:eastAsia="zh-CN"/>
        </w:rPr>
        <w:t>产品</w:t>
      </w:r>
      <w:r>
        <w:rPr>
          <w:rFonts w:hint="eastAsia"/>
          <w:b/>
          <w:bCs/>
          <w:color w:val="auto"/>
        </w:rPr>
        <w:t>及与之配套的</w:t>
      </w:r>
      <w:r>
        <w:rPr>
          <w:rFonts w:hint="eastAsia"/>
          <w:b/>
          <w:bCs/>
          <w:color w:val="auto"/>
          <w:lang w:val="en-US" w:eastAsia="zh-CN"/>
        </w:rPr>
        <w:t>部署、</w:t>
      </w:r>
      <w:r>
        <w:rPr>
          <w:rFonts w:hint="eastAsia"/>
          <w:b/>
          <w:bCs/>
          <w:color w:val="auto"/>
        </w:rPr>
        <w:t>检验</w:t>
      </w:r>
      <w:r>
        <w:rPr>
          <w:rFonts w:hint="eastAsia"/>
          <w:b/>
          <w:bCs/>
          <w:color w:val="auto"/>
          <w:lang w:eastAsia="zh-CN"/>
        </w:rPr>
        <w:t>、</w:t>
      </w:r>
      <w:r>
        <w:rPr>
          <w:rFonts w:hint="eastAsia"/>
          <w:b/>
          <w:bCs/>
          <w:color w:val="auto"/>
        </w:rPr>
        <w:t>保险、税费以及安装、组织验收、培训、质保期服务等全部价款，除此之外，</w:t>
      </w:r>
      <w:r>
        <w:rPr>
          <w:rFonts w:hint="eastAsia"/>
          <w:b/>
          <w:bCs/>
          <w:color w:val="auto"/>
          <w:lang w:val="en-US" w:eastAsia="zh-CN"/>
        </w:rPr>
        <w:t>采购人不再</w:t>
      </w:r>
      <w:r>
        <w:rPr>
          <w:rFonts w:hint="eastAsia"/>
          <w:b/>
          <w:bCs/>
          <w:color w:val="auto"/>
        </w:rPr>
        <w:t>支付其他任何费用。</w:t>
      </w:r>
    </w:p>
    <w:p w14:paraId="73358061">
      <w:pPr>
        <w:rPr>
          <w:rFonts w:hint="eastAsia"/>
          <w:b/>
          <w:bCs/>
          <w:color w:val="auto"/>
        </w:rPr>
      </w:pPr>
      <w:r>
        <w:rPr>
          <w:rFonts w:hint="eastAsia"/>
          <w:b/>
          <w:bCs/>
          <w:color w:val="auto"/>
        </w:rPr>
        <w:t>供应商需针对本项目提供详细的申报方案</w:t>
      </w:r>
      <w:r>
        <w:rPr>
          <w:rFonts w:hint="eastAsia"/>
          <w:b/>
          <w:bCs/>
          <w:color w:val="auto"/>
          <w:lang w:eastAsia="zh-CN"/>
        </w:rPr>
        <w:t>、项目总体实施方案</w:t>
      </w:r>
      <w:r>
        <w:rPr>
          <w:rFonts w:hint="eastAsia"/>
          <w:b/>
          <w:bCs/>
          <w:color w:val="auto"/>
          <w:lang w:val="en-US" w:eastAsia="zh-CN"/>
        </w:rPr>
        <w:t>项目业绩</w:t>
      </w:r>
      <w:r>
        <w:rPr>
          <w:rFonts w:hint="eastAsia"/>
          <w:b/>
          <w:bCs/>
          <w:color w:val="auto"/>
        </w:rPr>
        <w:t>等。</w:t>
      </w:r>
    </w:p>
    <w:p w14:paraId="64B5526A">
      <w:pPr>
        <w:bidi w:val="0"/>
        <w:rPr>
          <w:rFonts w:hint="eastAsia"/>
        </w:rPr>
      </w:pPr>
    </w:p>
    <w:p w14:paraId="44FD7DD4">
      <w:pPr>
        <w:rPr>
          <w:rFonts w:hint="eastAsia"/>
          <w:b/>
          <w:bCs/>
          <w:color w:val="auto"/>
        </w:rPr>
      </w:pPr>
    </w:p>
    <w:p w14:paraId="11435BB7">
      <w:pPr>
        <w:bidi w:val="0"/>
        <w:rPr>
          <w:rFonts w:hint="eastAsia"/>
        </w:rPr>
      </w:pPr>
    </w:p>
    <w:p w14:paraId="09AB5D7F">
      <w:pPr>
        <w:rPr>
          <w:rFonts w:hint="eastAsia"/>
          <w:b/>
          <w:bCs/>
          <w:color w:val="auto"/>
        </w:rPr>
      </w:pPr>
    </w:p>
    <w:p w14:paraId="7C1CD7BF">
      <w:pPr>
        <w:bidi w:val="0"/>
        <w:rPr>
          <w:rFonts w:hint="eastAsia"/>
        </w:rPr>
      </w:pPr>
    </w:p>
    <w:p w14:paraId="67B0D821">
      <w:pPr>
        <w:rPr>
          <w:rFonts w:hint="eastAsia"/>
          <w:b/>
          <w:bCs/>
          <w:color w:val="auto"/>
        </w:rPr>
      </w:pPr>
    </w:p>
    <w:p w14:paraId="3E140483">
      <w:pPr>
        <w:bidi w:val="0"/>
        <w:rPr>
          <w:rFonts w:hint="eastAsia"/>
        </w:rPr>
      </w:pPr>
    </w:p>
    <w:p w14:paraId="05CBAE55">
      <w:pPr>
        <w:rPr>
          <w:rFonts w:hint="eastAsia"/>
          <w:b/>
          <w:bCs/>
          <w:color w:val="auto"/>
        </w:rPr>
      </w:pPr>
    </w:p>
    <w:p w14:paraId="0FF72D65">
      <w:pPr>
        <w:bidi w:val="0"/>
        <w:rPr>
          <w:rFonts w:hint="eastAsia"/>
        </w:rPr>
      </w:pPr>
    </w:p>
    <w:p w14:paraId="41C6E461">
      <w:pPr>
        <w:bidi w:val="0"/>
        <w:rPr>
          <w:rFonts w:hint="eastAsia"/>
        </w:rPr>
      </w:pPr>
    </w:p>
    <w:p w14:paraId="10FB42DD">
      <w:pPr>
        <w:bidi w:val="0"/>
        <w:rPr>
          <w:rFonts w:hint="eastAsia"/>
        </w:rPr>
      </w:pPr>
    </w:p>
    <w:p w14:paraId="0C15CA9F">
      <w:pPr>
        <w:bidi w:val="0"/>
        <w:rPr>
          <w:rFonts w:hint="eastAsia"/>
        </w:rPr>
      </w:pPr>
    </w:p>
    <w:p w14:paraId="18D8ADEB">
      <w:pPr>
        <w:bidi w:val="0"/>
        <w:rPr>
          <w:rFonts w:hint="eastAsia"/>
        </w:rPr>
      </w:pPr>
    </w:p>
    <w:p w14:paraId="77D9E6D4">
      <w:pPr>
        <w:bidi w:val="0"/>
        <w:rPr>
          <w:rFonts w:hint="eastAsia"/>
        </w:rPr>
      </w:pPr>
    </w:p>
    <w:p w14:paraId="399AA3A4">
      <w:pPr>
        <w:bidi w:val="0"/>
        <w:rPr>
          <w:rFonts w:hint="eastAsia"/>
        </w:rPr>
      </w:pPr>
    </w:p>
    <w:p w14:paraId="6A4869A1">
      <w:pPr>
        <w:bidi w:val="0"/>
        <w:rPr>
          <w:rFonts w:hint="eastAsia"/>
        </w:rPr>
      </w:pPr>
    </w:p>
    <w:p w14:paraId="287A5E38">
      <w:pPr>
        <w:bidi w:val="0"/>
        <w:rPr>
          <w:rFonts w:hint="eastAsia"/>
        </w:rPr>
      </w:pPr>
    </w:p>
    <w:p w14:paraId="3FADFB30">
      <w:pPr>
        <w:bidi w:val="0"/>
        <w:rPr>
          <w:rFonts w:hint="eastAsia"/>
        </w:rPr>
      </w:pPr>
    </w:p>
    <w:p w14:paraId="1E3D5C62">
      <w:pPr>
        <w:pStyle w:val="2"/>
        <w:rPr>
          <w:color w:val="auto"/>
          <w:sz w:val="32"/>
        </w:rPr>
      </w:pPr>
      <w:bookmarkStart w:id="11" w:name="_Toc29190"/>
      <w:bookmarkStart w:id="12" w:name="_Toc491"/>
      <w:r>
        <w:rPr>
          <w:rFonts w:hint="eastAsia"/>
          <w:color w:val="auto"/>
          <w:sz w:val="32"/>
        </w:rPr>
        <w:t>详细评审标准</w:t>
      </w:r>
      <w:bookmarkEnd w:id="11"/>
      <w:bookmarkEnd w:id="12"/>
    </w:p>
    <w:tbl>
      <w:tblPr>
        <w:tblStyle w:val="5"/>
        <w:tblW w:w="9816"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200"/>
        <w:gridCol w:w="6818"/>
        <w:gridCol w:w="939"/>
      </w:tblGrid>
      <w:tr w14:paraId="0B42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9" w:type="dxa"/>
            <w:noWrap w:val="0"/>
            <w:vAlign w:val="center"/>
          </w:tcPr>
          <w:p w14:paraId="323C1E7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color w:val="auto"/>
              </w:rPr>
            </w:pPr>
            <w:r>
              <w:rPr>
                <w:rFonts w:hint="eastAsia"/>
                <w:b/>
                <w:bCs/>
                <w:color w:val="auto"/>
              </w:rPr>
              <w:t>序号</w:t>
            </w:r>
          </w:p>
        </w:tc>
        <w:tc>
          <w:tcPr>
            <w:tcW w:w="1200" w:type="dxa"/>
            <w:noWrap w:val="0"/>
            <w:vAlign w:val="center"/>
          </w:tcPr>
          <w:p w14:paraId="466CF69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color w:val="auto"/>
              </w:rPr>
            </w:pPr>
            <w:r>
              <w:rPr>
                <w:rFonts w:hint="eastAsia"/>
                <w:b/>
                <w:bCs/>
                <w:color w:val="auto"/>
                <w:lang w:val="en-US" w:eastAsia="zh-CN"/>
              </w:rPr>
              <w:t>评审因素</w:t>
            </w:r>
          </w:p>
        </w:tc>
        <w:tc>
          <w:tcPr>
            <w:tcW w:w="6818" w:type="dxa"/>
            <w:noWrap w:val="0"/>
            <w:vAlign w:val="center"/>
          </w:tcPr>
          <w:p w14:paraId="2E38AA9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color w:val="auto"/>
              </w:rPr>
            </w:pPr>
            <w:r>
              <w:rPr>
                <w:rFonts w:hint="eastAsia"/>
                <w:b/>
                <w:bCs/>
                <w:color w:val="auto"/>
                <w:lang w:val="en-US" w:eastAsia="zh-CN"/>
              </w:rPr>
              <w:t>评审</w:t>
            </w:r>
            <w:r>
              <w:rPr>
                <w:rFonts w:hint="eastAsia"/>
                <w:b/>
                <w:bCs/>
                <w:color w:val="auto"/>
              </w:rPr>
              <w:t>标准</w:t>
            </w:r>
          </w:p>
        </w:tc>
        <w:tc>
          <w:tcPr>
            <w:tcW w:w="939" w:type="dxa"/>
            <w:noWrap w:val="0"/>
            <w:vAlign w:val="center"/>
          </w:tcPr>
          <w:p w14:paraId="3751584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color w:val="auto"/>
              </w:rPr>
            </w:pPr>
            <w:r>
              <w:rPr>
                <w:rFonts w:hint="eastAsia"/>
                <w:b/>
                <w:bCs/>
                <w:color w:val="auto"/>
                <w:lang w:val="en-US" w:eastAsia="zh-CN"/>
              </w:rPr>
              <w:t>满</w:t>
            </w:r>
            <w:r>
              <w:rPr>
                <w:rFonts w:hint="eastAsia"/>
                <w:b/>
                <w:bCs/>
                <w:color w:val="auto"/>
              </w:rPr>
              <w:t>分</w:t>
            </w:r>
          </w:p>
        </w:tc>
      </w:tr>
      <w:tr w14:paraId="23FB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16" w:type="dxa"/>
            <w:gridSpan w:val="4"/>
            <w:noWrap w:val="0"/>
            <w:vAlign w:val="center"/>
          </w:tcPr>
          <w:p w14:paraId="7A0EE85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color w:val="auto"/>
                <w:lang w:val="en-US" w:eastAsia="zh-CN"/>
              </w:rPr>
            </w:pPr>
            <w:r>
              <w:rPr>
                <w:rFonts w:hint="eastAsia"/>
                <w:b/>
                <w:bCs/>
                <w:color w:val="auto"/>
                <w:lang w:val="en-US" w:eastAsia="zh-CN"/>
              </w:rPr>
              <w:t>一、技术、商务部分（70分）</w:t>
            </w:r>
          </w:p>
        </w:tc>
      </w:tr>
      <w:tr w14:paraId="08D4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9" w:type="dxa"/>
            <w:noWrap w:val="0"/>
            <w:vAlign w:val="center"/>
          </w:tcPr>
          <w:p w14:paraId="1E6BB3D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olor w:val="auto"/>
                <w:lang w:val="en-US" w:eastAsia="zh-CN"/>
              </w:rPr>
            </w:pPr>
            <w:r>
              <w:rPr>
                <w:rFonts w:hint="eastAsia"/>
                <w:color w:val="auto"/>
                <w:lang w:val="en-US" w:eastAsia="zh-CN"/>
              </w:rPr>
              <w:t>1</w:t>
            </w:r>
          </w:p>
        </w:tc>
        <w:tc>
          <w:tcPr>
            <w:tcW w:w="1200" w:type="dxa"/>
            <w:noWrap w:val="0"/>
            <w:vAlign w:val="center"/>
          </w:tcPr>
          <w:p w14:paraId="7759AFC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lang w:val="en-US" w:eastAsia="zh-CN"/>
              </w:rPr>
            </w:pPr>
            <w:r>
              <w:rPr>
                <w:rFonts w:hint="eastAsia"/>
                <w:b w:val="0"/>
                <w:bCs w:val="0"/>
                <w:color w:val="auto"/>
                <w:lang w:val="en-US" w:eastAsia="zh-CN"/>
              </w:rPr>
              <w:t>技术指标响应（40分）</w:t>
            </w:r>
          </w:p>
        </w:tc>
        <w:tc>
          <w:tcPr>
            <w:tcW w:w="6818" w:type="dxa"/>
            <w:noWrap w:val="0"/>
            <w:vAlign w:val="center"/>
          </w:tcPr>
          <w:p w14:paraId="0FCA60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lang w:val="en-US" w:eastAsia="zh-CN"/>
              </w:rPr>
            </w:pPr>
            <w:r>
              <w:rPr>
                <w:rFonts w:hint="eastAsia"/>
                <w:color w:val="auto"/>
                <w:lang w:val="en-US" w:eastAsia="zh-CN"/>
              </w:rPr>
              <w:t>所有技术参数完全满足或优于竞争性磋商文件第三章采购需求系统功能参数要求的得40分；带“▲”的为重要技术参数，每有一项“▲”不满足的扣4分；</w:t>
            </w:r>
            <w:r>
              <w:rPr>
                <w:rFonts w:hint="eastAsia" w:ascii="宋体" w:hAnsi="宋体" w:cs="宋体"/>
                <w:color w:val="auto"/>
                <w:kern w:val="0"/>
                <w:highlight w:val="none"/>
              </w:rPr>
              <w:t>未有任何标识的为一般性指标</w:t>
            </w:r>
            <w:r>
              <w:rPr>
                <w:rFonts w:hint="eastAsia" w:ascii="宋体" w:hAnsi="宋体" w:cs="宋体"/>
                <w:color w:val="auto"/>
                <w:kern w:val="0"/>
                <w:highlight w:val="none"/>
                <w:lang w:eastAsia="zh-CN"/>
              </w:rPr>
              <w:t>，</w:t>
            </w:r>
            <w:r>
              <w:rPr>
                <w:rFonts w:hint="eastAsia"/>
                <w:color w:val="auto"/>
                <w:lang w:val="en-US" w:eastAsia="zh-CN"/>
              </w:rPr>
              <w:t>每有一项不满足的扣1分，扣完为止；</w:t>
            </w:r>
          </w:p>
        </w:tc>
        <w:tc>
          <w:tcPr>
            <w:tcW w:w="939" w:type="dxa"/>
            <w:noWrap w:val="0"/>
            <w:vAlign w:val="center"/>
          </w:tcPr>
          <w:p w14:paraId="525CD225">
            <w:pPr>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textAlignment w:val="auto"/>
              <w:rPr>
                <w:rFonts w:hint="default"/>
                <w:color w:val="auto"/>
                <w:lang w:val="en-US" w:eastAsia="zh-CN"/>
              </w:rPr>
            </w:pPr>
            <w:r>
              <w:rPr>
                <w:rFonts w:hint="eastAsia"/>
                <w:color w:val="auto"/>
                <w:lang w:val="en-US" w:eastAsia="zh-CN"/>
              </w:rPr>
              <w:t>40</w:t>
            </w:r>
          </w:p>
        </w:tc>
      </w:tr>
      <w:tr w14:paraId="36BC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9" w:type="dxa"/>
            <w:noWrap w:val="0"/>
            <w:vAlign w:val="center"/>
          </w:tcPr>
          <w:p w14:paraId="6BD4F1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olor w:val="auto"/>
                <w:lang w:val="en-US" w:eastAsia="zh-CN"/>
              </w:rPr>
            </w:pPr>
            <w:r>
              <w:rPr>
                <w:rFonts w:hint="eastAsia"/>
                <w:color w:val="auto"/>
                <w:lang w:val="en-US" w:eastAsia="zh-CN"/>
              </w:rPr>
              <w:t>2</w:t>
            </w:r>
          </w:p>
        </w:tc>
        <w:tc>
          <w:tcPr>
            <w:tcW w:w="1200" w:type="dxa"/>
            <w:noWrap w:val="0"/>
            <w:vAlign w:val="center"/>
          </w:tcPr>
          <w:p w14:paraId="57700CB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lang w:eastAsia="zh-CN"/>
              </w:rPr>
            </w:pPr>
            <w:r>
              <w:rPr>
                <w:rFonts w:hint="eastAsia"/>
                <w:color w:val="auto"/>
                <w:lang w:val="en-US" w:eastAsia="zh-CN"/>
              </w:rPr>
              <w:t>申报方案</w:t>
            </w:r>
          </w:p>
          <w:p w14:paraId="7A84ACC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lang w:eastAsia="zh-CN"/>
              </w:rPr>
            </w:pPr>
            <w:r>
              <w:rPr>
                <w:rFonts w:hint="eastAsia"/>
                <w:color w:val="auto"/>
                <w:lang w:eastAsia="zh-CN"/>
              </w:rPr>
              <w:t>（10分）</w:t>
            </w:r>
          </w:p>
        </w:tc>
        <w:tc>
          <w:tcPr>
            <w:tcW w:w="6818" w:type="dxa"/>
            <w:noWrap w:val="0"/>
            <w:vAlign w:val="center"/>
          </w:tcPr>
          <w:p w14:paraId="1B7B57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auto"/>
                <w:lang w:eastAsia="zh-CN"/>
              </w:rPr>
            </w:pPr>
            <w:r>
              <w:rPr>
                <w:rFonts w:hint="eastAsia" w:eastAsia="宋体" w:cs="Times New Roman"/>
                <w:color w:val="auto"/>
                <w:lang w:eastAsia="zh-CN"/>
              </w:rPr>
              <w:t>协助采购人申报“全国肺栓塞和深静脉血栓形成防治能力建设项目”优秀单位。根据各供应商针对本项目提供的协助资质申报方案（包括但不限于人员团队、申报计划、协助事项、工作支持），每项内容最高得2.5分，满分得10分。</w:t>
            </w:r>
          </w:p>
          <w:p w14:paraId="0F65FB1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eastAsia="宋体" w:cs="Times New Roman"/>
                <w:color w:val="auto"/>
                <w:lang w:eastAsia="zh-CN"/>
              </w:rPr>
            </w:pPr>
            <w:r>
              <w:rPr>
                <w:rFonts w:hint="eastAsia" w:eastAsia="宋体" w:cs="Times New Roman"/>
                <w:color w:val="auto"/>
                <w:lang w:eastAsia="zh-CN"/>
              </w:rPr>
              <w:t xml:space="preserve">①方案内容非常完整，供应商的分析全面、合理、准确、透彻，解决措施得当、具体、有效的得2.5分； </w:t>
            </w:r>
          </w:p>
          <w:p w14:paraId="0EDA0A9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eastAsia="宋体" w:cs="Times New Roman"/>
                <w:color w:val="auto"/>
                <w:lang w:eastAsia="zh-CN"/>
              </w:rPr>
            </w:pPr>
            <w:r>
              <w:rPr>
                <w:rFonts w:hint="eastAsia" w:eastAsia="宋体" w:cs="Times New Roman"/>
                <w:color w:val="auto"/>
                <w:lang w:eastAsia="zh-CN"/>
              </w:rPr>
              <w:t>②方案内容完整，供应商的分析全面、合理、准确、透彻，解决措施较得当、具体、有效的得1.5分；</w:t>
            </w:r>
          </w:p>
          <w:p w14:paraId="3305EEA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eastAsia="宋体" w:cs="Times New Roman"/>
                <w:color w:val="auto"/>
                <w:lang w:eastAsia="zh-CN"/>
              </w:rPr>
            </w:pPr>
            <w:r>
              <w:rPr>
                <w:rFonts w:hint="eastAsia" w:eastAsia="宋体" w:cs="Times New Roman"/>
                <w:color w:val="auto"/>
                <w:lang w:eastAsia="zh-CN"/>
              </w:rPr>
              <w:t>③方案内容基本完整，基本满足采购需求，供应商的分析基本全面、合理，解决措施基本得当的得</w:t>
            </w:r>
            <w:r>
              <w:rPr>
                <w:rFonts w:hint="eastAsia" w:eastAsia="宋体" w:cs="Times New Roman"/>
                <w:color w:val="auto"/>
                <w:lang w:val="en-US" w:eastAsia="zh-CN"/>
              </w:rPr>
              <w:t>1.0</w:t>
            </w:r>
            <w:r>
              <w:rPr>
                <w:rFonts w:hint="eastAsia" w:eastAsia="宋体" w:cs="Times New Roman"/>
                <w:color w:val="auto"/>
                <w:lang w:eastAsia="zh-CN"/>
              </w:rPr>
              <w:t>分；</w:t>
            </w:r>
          </w:p>
          <w:p w14:paraId="2A524A4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eastAsia="宋体" w:cs="Times New Roman"/>
                <w:color w:val="auto"/>
                <w:lang w:eastAsia="zh-CN"/>
              </w:rPr>
            </w:pPr>
            <w:r>
              <w:rPr>
                <w:rFonts w:hint="eastAsia" w:eastAsia="宋体" w:cs="Times New Roman"/>
                <w:color w:val="auto"/>
                <w:lang w:eastAsia="zh-CN"/>
              </w:rPr>
              <w:t>④方案内容较差，供应商对项目的分析欠妥，解决措施一般的的0.</w:t>
            </w:r>
            <w:r>
              <w:rPr>
                <w:rFonts w:hint="eastAsia" w:eastAsia="宋体" w:cs="Times New Roman"/>
                <w:color w:val="auto"/>
                <w:lang w:val="en-US" w:eastAsia="zh-CN"/>
              </w:rPr>
              <w:t>5</w:t>
            </w:r>
            <w:r>
              <w:rPr>
                <w:rFonts w:hint="eastAsia" w:eastAsia="宋体" w:cs="Times New Roman"/>
                <w:color w:val="auto"/>
                <w:lang w:eastAsia="zh-CN"/>
              </w:rPr>
              <w:t>分。</w:t>
            </w:r>
          </w:p>
          <w:p w14:paraId="3933D45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eastAsia="宋体" w:cs="Times New Roman"/>
                <w:color w:val="auto"/>
                <w:lang w:eastAsia="zh-CN"/>
              </w:rPr>
            </w:pPr>
            <w:r>
              <w:rPr>
                <w:rFonts w:hint="eastAsia" w:eastAsia="宋体" w:cs="Times New Roman"/>
                <w:color w:val="auto"/>
                <w:lang w:eastAsia="zh-CN"/>
              </w:rPr>
              <w:t>⑤不提供方案或提供的方案以本项目有实际偏差的则不得分。</w:t>
            </w:r>
          </w:p>
        </w:tc>
        <w:tc>
          <w:tcPr>
            <w:tcW w:w="939" w:type="dxa"/>
            <w:noWrap w:val="0"/>
            <w:vAlign w:val="center"/>
          </w:tcPr>
          <w:p w14:paraId="18E015F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olor w:val="auto"/>
                <w:lang w:val="en-US" w:eastAsia="zh-CN"/>
              </w:rPr>
            </w:pPr>
            <w:r>
              <w:rPr>
                <w:rFonts w:hint="eastAsia"/>
                <w:color w:val="auto"/>
                <w:lang w:val="en-US" w:eastAsia="zh-CN"/>
              </w:rPr>
              <w:t>10</w:t>
            </w:r>
          </w:p>
        </w:tc>
      </w:tr>
      <w:tr w14:paraId="1D09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9" w:type="dxa"/>
            <w:noWrap w:val="0"/>
            <w:vAlign w:val="center"/>
          </w:tcPr>
          <w:p w14:paraId="32E1ECF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olor w:val="auto"/>
                <w:lang w:val="en-US" w:eastAsia="zh-CN"/>
              </w:rPr>
            </w:pPr>
            <w:r>
              <w:rPr>
                <w:rFonts w:hint="eastAsia"/>
                <w:color w:val="auto"/>
                <w:lang w:val="en-US" w:eastAsia="zh-CN"/>
              </w:rPr>
              <w:t>3</w:t>
            </w:r>
          </w:p>
        </w:tc>
        <w:tc>
          <w:tcPr>
            <w:tcW w:w="1200" w:type="dxa"/>
            <w:noWrap w:val="0"/>
            <w:vAlign w:val="center"/>
          </w:tcPr>
          <w:p w14:paraId="724C62D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lang w:eastAsia="zh-CN"/>
              </w:rPr>
            </w:pPr>
            <w:r>
              <w:rPr>
                <w:rFonts w:hint="eastAsia"/>
                <w:color w:val="auto"/>
                <w:lang w:eastAsia="zh-CN"/>
              </w:rPr>
              <w:t>项目总体实施方案（15分）</w:t>
            </w:r>
          </w:p>
        </w:tc>
        <w:tc>
          <w:tcPr>
            <w:tcW w:w="6818" w:type="dxa"/>
            <w:noWrap w:val="0"/>
            <w:vAlign w:val="center"/>
          </w:tcPr>
          <w:p w14:paraId="2A68E0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color w:val="auto"/>
                <w:lang w:eastAsia="zh-CN"/>
              </w:rPr>
            </w:pPr>
            <w:r>
              <w:rPr>
                <w:rFonts w:hint="eastAsia" w:eastAsia="宋体" w:cs="Times New Roman"/>
                <w:color w:val="auto"/>
                <w:lang w:eastAsia="zh-CN"/>
              </w:rPr>
              <w:t>根据供应商制定的项目总体实施方案（包括但不限</w:t>
            </w:r>
            <w:r>
              <w:rPr>
                <w:rFonts w:hint="eastAsia" w:eastAsia="宋体" w:cs="Times New Roman"/>
                <w:color w:val="auto"/>
                <w:lang w:val="en-US" w:eastAsia="zh-CN"/>
              </w:rPr>
              <w:t>于</w:t>
            </w:r>
            <w:r>
              <w:rPr>
                <w:rFonts w:hint="eastAsia" w:eastAsia="宋体" w:cs="Times New Roman"/>
                <w:color w:val="auto"/>
                <w:lang w:eastAsia="zh-CN"/>
              </w:rPr>
              <w:t>项目定位及实施思路、项目服务计划、与采购人配合沟通方案、项目资料管理方案、项目进度保障措施），每项内容最高得3分，满分得15分。</w:t>
            </w:r>
          </w:p>
          <w:p w14:paraId="14CB09F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eastAsia="宋体" w:cs="Times New Roman"/>
                <w:color w:val="auto"/>
                <w:lang w:eastAsia="zh-CN"/>
              </w:rPr>
            </w:pPr>
            <w:r>
              <w:rPr>
                <w:rFonts w:hint="eastAsia" w:eastAsia="宋体" w:cs="Times New Roman"/>
                <w:color w:val="auto"/>
                <w:lang w:eastAsia="zh-CN"/>
              </w:rPr>
              <w:t xml:space="preserve">①方案内容详细全面完善，不缺漏，提供的服务优于采购人考虑，方案描述内容完整,可行性高、完整性强、科学性强、先进性高、描述清晰程度高、逻辑性强的得3分； </w:t>
            </w:r>
          </w:p>
          <w:p w14:paraId="3136AAB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eastAsia="宋体" w:cs="Times New Roman"/>
                <w:color w:val="auto"/>
                <w:lang w:eastAsia="zh-CN"/>
              </w:rPr>
            </w:pPr>
            <w:r>
              <w:rPr>
                <w:rFonts w:hint="eastAsia" w:eastAsia="宋体" w:cs="Times New Roman"/>
                <w:color w:val="auto"/>
                <w:lang w:eastAsia="zh-CN"/>
              </w:rPr>
              <w:t>②方案内容描述完整，描述详实，提供服务满足采购人需求，理解较深刻、认识透彻程度高、具有科学性、可行性、先进性，有逻辑性的得2分；</w:t>
            </w:r>
          </w:p>
          <w:p w14:paraId="326CE13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eastAsia="宋体" w:cs="Times New Roman"/>
                <w:color w:val="auto"/>
                <w:lang w:eastAsia="zh-CN"/>
              </w:rPr>
            </w:pPr>
            <w:r>
              <w:rPr>
                <w:rFonts w:hint="eastAsia" w:eastAsia="宋体" w:cs="Times New Roman"/>
                <w:color w:val="auto"/>
                <w:lang w:eastAsia="zh-CN"/>
              </w:rPr>
              <w:t>③方案内容基本完整，提供的服务基本满足采购人需求，方案描述的内容具有一定的可行性、科学性和逻辑性的得1分；</w:t>
            </w:r>
          </w:p>
          <w:p w14:paraId="29182A8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eastAsia="宋体" w:cs="Times New Roman"/>
                <w:color w:val="auto"/>
                <w:lang w:eastAsia="zh-CN"/>
              </w:rPr>
            </w:pPr>
            <w:r>
              <w:rPr>
                <w:rFonts w:hint="eastAsia" w:eastAsia="宋体" w:cs="Times New Roman"/>
                <w:color w:val="auto"/>
                <w:lang w:eastAsia="zh-CN"/>
              </w:rPr>
              <w:t>④方案内容缺项漏项，方案描述的内容条理不清、方案思路不清晰及可行性较差的得0.5分。</w:t>
            </w:r>
          </w:p>
          <w:p w14:paraId="1C2EC9F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eastAsia="宋体" w:cs="Times New Roman"/>
                <w:color w:val="auto"/>
                <w:lang w:eastAsia="zh-CN"/>
              </w:rPr>
            </w:pPr>
            <w:r>
              <w:rPr>
                <w:rFonts w:hint="eastAsia" w:eastAsia="宋体" w:cs="Times New Roman"/>
                <w:color w:val="auto"/>
                <w:lang w:eastAsia="zh-CN"/>
              </w:rPr>
              <w:t>⑤不提供方案或提供的方案以本项目有实际偏差的则不得分。</w:t>
            </w:r>
          </w:p>
        </w:tc>
        <w:tc>
          <w:tcPr>
            <w:tcW w:w="939" w:type="dxa"/>
            <w:noWrap w:val="0"/>
            <w:vAlign w:val="center"/>
          </w:tcPr>
          <w:p w14:paraId="5E3F482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olor w:val="auto"/>
                <w:lang w:val="en-US" w:eastAsia="zh-CN"/>
              </w:rPr>
            </w:pPr>
            <w:r>
              <w:rPr>
                <w:rFonts w:hint="eastAsia"/>
                <w:color w:val="auto"/>
                <w:lang w:val="en-US" w:eastAsia="zh-CN"/>
              </w:rPr>
              <w:t>15</w:t>
            </w:r>
          </w:p>
        </w:tc>
      </w:tr>
      <w:tr w14:paraId="58ED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9" w:type="dxa"/>
            <w:noWrap w:val="0"/>
            <w:vAlign w:val="center"/>
          </w:tcPr>
          <w:p w14:paraId="4F9E9A3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olor w:val="auto"/>
                <w:lang w:val="en-US" w:eastAsia="zh-CN"/>
              </w:rPr>
            </w:pPr>
            <w:r>
              <w:rPr>
                <w:rFonts w:hint="eastAsia"/>
                <w:color w:val="auto"/>
                <w:lang w:val="en-US" w:eastAsia="zh-CN"/>
              </w:rPr>
              <w:t>4</w:t>
            </w:r>
          </w:p>
        </w:tc>
        <w:tc>
          <w:tcPr>
            <w:tcW w:w="1200" w:type="dxa"/>
            <w:noWrap w:val="0"/>
            <w:vAlign w:val="center"/>
          </w:tcPr>
          <w:p w14:paraId="789DD1E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olor w:val="auto"/>
                <w:lang w:val="en-US" w:eastAsia="zh-CN"/>
              </w:rPr>
            </w:pPr>
            <w:r>
              <w:rPr>
                <w:rFonts w:hint="eastAsia"/>
                <w:color w:val="auto"/>
                <w:lang w:val="en-US" w:eastAsia="zh-CN"/>
              </w:rPr>
              <w:t>业绩</w:t>
            </w:r>
          </w:p>
        </w:tc>
        <w:tc>
          <w:tcPr>
            <w:tcW w:w="6818" w:type="dxa"/>
            <w:noWrap w:val="0"/>
            <w:vAlign w:val="center"/>
          </w:tcPr>
          <w:p w14:paraId="6C8C615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cs="Times New Roman"/>
                <w:color w:val="auto"/>
                <w:lang w:eastAsia="zh-CN"/>
              </w:rPr>
            </w:pPr>
            <w:r>
              <w:rPr>
                <w:rFonts w:hint="eastAsia" w:eastAsia="宋体" w:cs="Times New Roman"/>
                <w:color w:val="auto"/>
                <w:lang w:eastAsia="zh-CN"/>
              </w:rPr>
              <w:t>根据供应商所提供的自202</w:t>
            </w:r>
            <w:r>
              <w:rPr>
                <w:rFonts w:hint="eastAsia" w:eastAsia="宋体" w:cs="Times New Roman"/>
                <w:color w:val="auto"/>
                <w:lang w:val="en-US" w:eastAsia="zh-CN"/>
              </w:rPr>
              <w:t>0</w:t>
            </w:r>
            <w:r>
              <w:rPr>
                <w:rFonts w:hint="eastAsia" w:eastAsia="宋体" w:cs="Times New Roman"/>
                <w:color w:val="auto"/>
                <w:lang w:eastAsia="zh-CN"/>
              </w:rPr>
              <w:t>年01月01日至今（日期以合同签订时间为准）有</w:t>
            </w:r>
            <w:r>
              <w:rPr>
                <w:rFonts w:hint="eastAsia" w:eastAsia="宋体" w:cs="Times New Roman"/>
                <w:color w:val="auto"/>
                <w:lang w:val="en-US" w:eastAsia="zh-CN"/>
              </w:rPr>
              <w:t>过类似项目业绩</w:t>
            </w:r>
            <w:r>
              <w:rPr>
                <w:rFonts w:hint="eastAsia" w:eastAsia="宋体" w:cs="Times New Roman"/>
                <w:color w:val="auto"/>
                <w:lang w:eastAsia="zh-CN"/>
              </w:rPr>
              <w:t>的，每提供1个得2.5分，满分5分。</w:t>
            </w:r>
          </w:p>
          <w:p w14:paraId="3087D13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eastAsia="宋体" w:cs="Times New Roman"/>
                <w:color w:val="auto"/>
                <w:lang w:eastAsia="zh-CN"/>
              </w:rPr>
            </w:pPr>
            <w:r>
              <w:rPr>
                <w:rFonts w:hint="eastAsia" w:eastAsia="宋体" w:cs="Times New Roman"/>
                <w:color w:val="auto"/>
                <w:lang w:eastAsia="zh-CN"/>
              </w:rPr>
              <w:t>证明材料：提供合同复印件加盖公章。</w:t>
            </w:r>
          </w:p>
        </w:tc>
        <w:tc>
          <w:tcPr>
            <w:tcW w:w="939" w:type="dxa"/>
            <w:noWrap w:val="0"/>
            <w:vAlign w:val="center"/>
          </w:tcPr>
          <w:p w14:paraId="5B83BD0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color w:val="auto"/>
                <w:lang w:val="en-US" w:eastAsia="zh-CN"/>
              </w:rPr>
            </w:pPr>
            <w:r>
              <w:rPr>
                <w:rFonts w:hint="eastAsia"/>
                <w:color w:val="auto"/>
                <w:lang w:val="en-US" w:eastAsia="zh-CN"/>
              </w:rPr>
              <w:t>5</w:t>
            </w:r>
          </w:p>
        </w:tc>
      </w:tr>
      <w:tr w14:paraId="1D82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16" w:type="dxa"/>
            <w:gridSpan w:val="4"/>
            <w:noWrap w:val="0"/>
            <w:vAlign w:val="center"/>
          </w:tcPr>
          <w:p w14:paraId="362C0BF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lang w:val="en-US" w:eastAsia="zh-CN"/>
              </w:rPr>
            </w:pPr>
            <w:r>
              <w:rPr>
                <w:rFonts w:hint="eastAsia"/>
                <w:b/>
                <w:bCs/>
                <w:color w:val="auto"/>
                <w:lang w:val="en-US" w:eastAsia="zh-CN"/>
              </w:rPr>
              <w:t>二、价格部分（30分）</w:t>
            </w:r>
          </w:p>
        </w:tc>
      </w:tr>
      <w:tr w14:paraId="114E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9" w:type="dxa"/>
            <w:noWrap w:val="0"/>
            <w:vAlign w:val="center"/>
          </w:tcPr>
          <w:p w14:paraId="1348E2D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color w:val="auto"/>
                <w:lang w:val="en-US" w:eastAsia="zh-CN"/>
              </w:rPr>
            </w:pPr>
            <w:r>
              <w:rPr>
                <w:rFonts w:hint="eastAsia"/>
                <w:color w:val="auto"/>
                <w:lang w:val="en-US" w:eastAsia="zh-CN"/>
              </w:rPr>
              <w:t>5</w:t>
            </w:r>
          </w:p>
        </w:tc>
        <w:tc>
          <w:tcPr>
            <w:tcW w:w="1200" w:type="dxa"/>
            <w:noWrap w:val="0"/>
            <w:vAlign w:val="center"/>
          </w:tcPr>
          <w:p w14:paraId="2A11B5A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rPr>
            </w:pPr>
            <w:r>
              <w:rPr>
                <w:rFonts w:hint="eastAsia"/>
                <w:color w:val="auto"/>
              </w:rPr>
              <w:t>价格分（</w:t>
            </w:r>
            <w:r>
              <w:rPr>
                <w:rFonts w:hint="eastAsia"/>
                <w:color w:val="auto"/>
                <w:lang w:val="en-US" w:eastAsia="zh-CN"/>
              </w:rPr>
              <w:t>30</w:t>
            </w:r>
            <w:r>
              <w:rPr>
                <w:rFonts w:hint="eastAsia"/>
                <w:color w:val="auto"/>
              </w:rPr>
              <w:t>分）</w:t>
            </w:r>
          </w:p>
          <w:p w14:paraId="6603348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rPr>
            </w:pPr>
          </w:p>
        </w:tc>
        <w:tc>
          <w:tcPr>
            <w:tcW w:w="6818" w:type="dxa"/>
            <w:noWrap w:val="0"/>
            <w:vAlign w:val="center"/>
          </w:tcPr>
          <w:p w14:paraId="7731E7C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rPr>
            </w:pPr>
            <w:r>
              <w:rPr>
                <w:rFonts w:hint="eastAsia"/>
                <w:color w:val="auto"/>
              </w:rPr>
              <w:t>满足采购文件要求且最后报价最低的供应商的价格为磋商基准价，其价格分为满分，价格分统一按照下列公式计算：磋商报价得分=(磋商基准价／最后磋商报价)×价格权值×100</w:t>
            </w:r>
          </w:p>
          <w:p w14:paraId="25F8BC6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rPr>
            </w:pPr>
            <w:r>
              <w:rPr>
                <w:rFonts w:hint="eastAsia"/>
                <w:color w:val="auto"/>
              </w:rPr>
              <w:t>注：在</w:t>
            </w:r>
            <w:r>
              <w:rPr>
                <w:rFonts w:hint="eastAsia"/>
                <w:color w:val="auto"/>
                <w:lang w:val="en-US" w:eastAsia="zh-CN"/>
              </w:rPr>
              <w:t>磋商</w:t>
            </w:r>
            <w:r>
              <w:rPr>
                <w:rFonts w:hint="eastAsia"/>
                <w:color w:val="auto"/>
              </w:rPr>
              <w:t>过程中，竞争性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竞争性磋商小组应当将其作为无效响应处理。</w:t>
            </w:r>
          </w:p>
        </w:tc>
        <w:tc>
          <w:tcPr>
            <w:tcW w:w="939" w:type="dxa"/>
            <w:noWrap w:val="0"/>
            <w:vAlign w:val="center"/>
          </w:tcPr>
          <w:p w14:paraId="653F9E8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rPr>
            </w:pPr>
            <w:r>
              <w:rPr>
                <w:rFonts w:hint="eastAsia"/>
                <w:color w:val="auto"/>
                <w:lang w:val="en-US" w:eastAsia="zh-CN"/>
              </w:rPr>
              <w:t>30</w:t>
            </w:r>
            <w:r>
              <w:rPr>
                <w:rFonts w:hint="eastAsia"/>
                <w:color w:val="auto"/>
              </w:rPr>
              <w:t>分</w:t>
            </w:r>
          </w:p>
        </w:tc>
      </w:tr>
      <w:tr w14:paraId="1830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9" w:type="dxa"/>
            <w:noWrap w:val="0"/>
            <w:vAlign w:val="center"/>
          </w:tcPr>
          <w:p w14:paraId="6C86DFA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lang w:val="en-US" w:eastAsia="zh-CN"/>
              </w:rPr>
            </w:pPr>
            <w:r>
              <w:rPr>
                <w:rFonts w:hint="eastAsia"/>
                <w:color w:val="auto"/>
                <w:lang w:val="en-US" w:eastAsia="zh-CN"/>
              </w:rPr>
              <w:t>6</w:t>
            </w:r>
          </w:p>
        </w:tc>
        <w:tc>
          <w:tcPr>
            <w:tcW w:w="8018" w:type="dxa"/>
            <w:gridSpan w:val="2"/>
            <w:noWrap w:val="0"/>
            <w:vAlign w:val="center"/>
          </w:tcPr>
          <w:p w14:paraId="68FC0EE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rPr>
            </w:pPr>
            <w:r>
              <w:rPr>
                <w:rFonts w:hint="eastAsia"/>
                <w:color w:val="auto"/>
              </w:rPr>
              <w:t>合计</w:t>
            </w:r>
          </w:p>
        </w:tc>
        <w:tc>
          <w:tcPr>
            <w:tcW w:w="939" w:type="dxa"/>
            <w:noWrap w:val="0"/>
            <w:vAlign w:val="center"/>
          </w:tcPr>
          <w:p w14:paraId="78EEA16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lang w:eastAsia="zh-CN"/>
              </w:rPr>
            </w:pPr>
            <w:r>
              <w:rPr>
                <w:rFonts w:hint="eastAsia"/>
                <w:color w:val="auto"/>
              </w:rPr>
              <w:t>100</w:t>
            </w:r>
            <w:r>
              <w:rPr>
                <w:rFonts w:hint="eastAsia"/>
                <w:color w:val="auto"/>
                <w:lang w:eastAsia="zh-CN"/>
              </w:rPr>
              <w:t>分</w:t>
            </w:r>
          </w:p>
        </w:tc>
      </w:tr>
    </w:tbl>
    <w:p w14:paraId="6AA02003">
      <w:pPr>
        <w:pStyle w:val="2"/>
        <w:rPr>
          <w:rFonts w:hint="eastAsia"/>
        </w:rPr>
      </w:pPr>
    </w:p>
    <w:p w14:paraId="464662BF">
      <w:pPr>
        <w:rPr>
          <w:rFonts w:hint="eastAsia"/>
        </w:rPr>
      </w:pPr>
    </w:p>
    <w:p w14:paraId="6BF35B08"/>
    <w:sectPr>
      <w:pgSz w:w="11906" w:h="16838"/>
      <w:pgMar w:top="1440" w:right="1179" w:bottom="1440" w:left="117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8E8EA"/>
    <w:multiLevelType w:val="singleLevel"/>
    <w:tmpl w:val="86C8E8EA"/>
    <w:lvl w:ilvl="0" w:tentative="0">
      <w:start w:val="1"/>
      <w:numFmt w:val="decimal"/>
      <w:lvlText w:val="%1)"/>
      <w:lvlJc w:val="left"/>
      <w:pPr>
        <w:ind w:left="425" w:hanging="425"/>
      </w:pPr>
      <w:rPr>
        <w:rFonts w:hint="default"/>
      </w:rPr>
    </w:lvl>
  </w:abstractNum>
  <w:abstractNum w:abstractNumId="1">
    <w:nsid w:val="AAE10610"/>
    <w:multiLevelType w:val="singleLevel"/>
    <w:tmpl w:val="AAE10610"/>
    <w:lvl w:ilvl="0" w:tentative="0">
      <w:start w:val="1"/>
      <w:numFmt w:val="decimal"/>
      <w:suff w:val="nothing"/>
      <w:lvlText w:val="%1．"/>
      <w:lvlJc w:val="left"/>
      <w:pPr>
        <w:ind w:left="5554" w:firstLine="400"/>
      </w:pPr>
      <w:rPr>
        <w:rFonts w:hint="default"/>
      </w:rPr>
    </w:lvl>
  </w:abstractNum>
  <w:abstractNum w:abstractNumId="2">
    <w:nsid w:val="B38B7F85"/>
    <w:multiLevelType w:val="singleLevel"/>
    <w:tmpl w:val="B38B7F85"/>
    <w:lvl w:ilvl="0" w:tentative="0">
      <w:start w:val="1"/>
      <w:numFmt w:val="chineseCounting"/>
      <w:suff w:val="nothing"/>
      <w:lvlText w:val="%1、"/>
      <w:lvlJc w:val="left"/>
      <w:pPr>
        <w:ind w:left="0" w:firstLine="420"/>
      </w:pPr>
      <w:rPr>
        <w:rFonts w:hint="eastAsia"/>
      </w:rPr>
    </w:lvl>
  </w:abstractNum>
  <w:abstractNum w:abstractNumId="3">
    <w:nsid w:val="D48DDF38"/>
    <w:multiLevelType w:val="singleLevel"/>
    <w:tmpl w:val="D48DDF38"/>
    <w:lvl w:ilvl="0" w:tentative="0">
      <w:start w:val="1"/>
      <w:numFmt w:val="decimal"/>
      <w:suff w:val="nothing"/>
      <w:lvlText w:val="%1．"/>
      <w:lvlJc w:val="left"/>
      <w:pPr>
        <w:ind w:left="0" w:firstLine="400"/>
      </w:pPr>
      <w:rPr>
        <w:rFonts w:hint="default"/>
      </w:rPr>
    </w:lvl>
  </w:abstractNum>
  <w:abstractNum w:abstractNumId="4">
    <w:nsid w:val="E7333BDD"/>
    <w:multiLevelType w:val="singleLevel"/>
    <w:tmpl w:val="E7333BDD"/>
    <w:lvl w:ilvl="0" w:tentative="0">
      <w:start w:val="1"/>
      <w:numFmt w:val="decimal"/>
      <w:suff w:val="nothing"/>
      <w:lvlText w:val="%1、"/>
      <w:lvlJc w:val="left"/>
    </w:lvl>
  </w:abstractNum>
  <w:abstractNum w:abstractNumId="5">
    <w:nsid w:val="17B847FD"/>
    <w:multiLevelType w:val="singleLevel"/>
    <w:tmpl w:val="17B847FD"/>
    <w:lvl w:ilvl="0" w:tentative="0">
      <w:start w:val="1"/>
      <w:numFmt w:val="decimal"/>
      <w:suff w:val="nothing"/>
      <w:lvlText w:val="%1．"/>
      <w:lvlJc w:val="left"/>
      <w:pPr>
        <w:ind w:left="0" w:firstLine="400"/>
      </w:pPr>
      <w:rPr>
        <w:rFonts w:hint="default"/>
      </w:rPr>
    </w:lvl>
  </w:abstractNum>
  <w:abstractNum w:abstractNumId="6">
    <w:nsid w:val="1B63BB9F"/>
    <w:multiLevelType w:val="singleLevel"/>
    <w:tmpl w:val="1B63BB9F"/>
    <w:lvl w:ilvl="0" w:tentative="0">
      <w:start w:val="1"/>
      <w:numFmt w:val="chineseCounting"/>
      <w:pStyle w:val="3"/>
      <w:suff w:val="space"/>
      <w:lvlText w:val="第%1章"/>
      <w:lvlJc w:val="left"/>
      <w:pPr>
        <w:tabs>
          <w:tab w:val="left" w:pos="420"/>
        </w:tabs>
        <w:ind w:left="0" w:firstLine="397"/>
      </w:pPr>
      <w:rPr>
        <w:rFonts w:hint="eastAsia"/>
      </w:rPr>
    </w:lvl>
  </w:abstractNum>
  <w:abstractNum w:abstractNumId="7">
    <w:nsid w:val="1FA2EEEE"/>
    <w:multiLevelType w:val="singleLevel"/>
    <w:tmpl w:val="1FA2EEEE"/>
    <w:lvl w:ilvl="0" w:tentative="0">
      <w:start w:val="1"/>
      <w:numFmt w:val="decimal"/>
      <w:lvlText w:val="%1)"/>
      <w:lvlJc w:val="left"/>
      <w:pPr>
        <w:ind w:left="425" w:hanging="425"/>
      </w:pPr>
      <w:rPr>
        <w:rFonts w:hint="default"/>
      </w:rPr>
    </w:lvl>
  </w:abstractNum>
  <w:abstractNum w:abstractNumId="8">
    <w:nsid w:val="3AAC2EC1"/>
    <w:multiLevelType w:val="singleLevel"/>
    <w:tmpl w:val="3AAC2EC1"/>
    <w:lvl w:ilvl="0" w:tentative="0">
      <w:start w:val="1"/>
      <w:numFmt w:val="decimal"/>
      <w:lvlText w:val="%1)"/>
      <w:lvlJc w:val="left"/>
      <w:pPr>
        <w:ind w:left="425" w:hanging="425"/>
      </w:pPr>
      <w:rPr>
        <w:rFonts w:hint="default"/>
      </w:rPr>
    </w:lvl>
  </w:abstractNum>
  <w:abstractNum w:abstractNumId="9">
    <w:nsid w:val="46826653"/>
    <w:multiLevelType w:val="singleLevel"/>
    <w:tmpl w:val="46826653"/>
    <w:lvl w:ilvl="0" w:tentative="0">
      <w:start w:val="1"/>
      <w:numFmt w:val="decimal"/>
      <w:lvlText w:val="%1)"/>
      <w:lvlJc w:val="left"/>
      <w:pPr>
        <w:ind w:left="425" w:hanging="425"/>
      </w:pPr>
      <w:rPr>
        <w:rFonts w:hint="default"/>
      </w:rPr>
    </w:lvl>
  </w:abstractNum>
  <w:abstractNum w:abstractNumId="10">
    <w:nsid w:val="582B8E8D"/>
    <w:multiLevelType w:val="singleLevel"/>
    <w:tmpl w:val="582B8E8D"/>
    <w:lvl w:ilvl="0" w:tentative="0">
      <w:start w:val="1"/>
      <w:numFmt w:val="decimal"/>
      <w:lvlText w:val="%1)"/>
      <w:lvlJc w:val="left"/>
      <w:pPr>
        <w:ind w:left="425" w:hanging="425"/>
      </w:pPr>
      <w:rPr>
        <w:rFonts w:hint="default"/>
      </w:rPr>
    </w:lvl>
  </w:abstractNum>
  <w:abstractNum w:abstractNumId="11">
    <w:nsid w:val="5BFB4FC6"/>
    <w:multiLevelType w:val="singleLevel"/>
    <w:tmpl w:val="5BFB4FC6"/>
    <w:lvl w:ilvl="0" w:tentative="0">
      <w:start w:val="1"/>
      <w:numFmt w:val="decimal"/>
      <w:lvlText w:val="%1)"/>
      <w:lvlJc w:val="left"/>
      <w:pPr>
        <w:ind w:left="425" w:hanging="425"/>
      </w:pPr>
      <w:rPr>
        <w:rFonts w:hint="default"/>
      </w:rPr>
    </w:lvl>
  </w:abstractNum>
  <w:abstractNum w:abstractNumId="12">
    <w:nsid w:val="6ADABE9B"/>
    <w:multiLevelType w:val="singleLevel"/>
    <w:tmpl w:val="6ADABE9B"/>
    <w:lvl w:ilvl="0" w:tentative="0">
      <w:start w:val="1"/>
      <w:numFmt w:val="decimal"/>
      <w:suff w:val="nothing"/>
      <w:lvlText w:val="%1．"/>
      <w:lvlJc w:val="left"/>
      <w:pPr>
        <w:ind w:left="0" w:firstLine="400"/>
      </w:pPr>
      <w:rPr>
        <w:rFonts w:hint="default"/>
      </w:rPr>
    </w:lvl>
  </w:abstractNum>
  <w:num w:numId="1">
    <w:abstractNumId w:val="6"/>
  </w:num>
  <w:num w:numId="2">
    <w:abstractNumId w:val="2"/>
  </w:num>
  <w:num w:numId="3">
    <w:abstractNumId w:val="4"/>
  </w:num>
  <w:num w:numId="4">
    <w:abstractNumId w:val="9"/>
  </w:num>
  <w:num w:numId="5">
    <w:abstractNumId w:val="11"/>
  </w:num>
  <w:num w:numId="6">
    <w:abstractNumId w:val="8"/>
  </w:num>
  <w:num w:numId="7">
    <w:abstractNumId w:val="7"/>
  </w:num>
  <w:num w:numId="8">
    <w:abstractNumId w:val="10"/>
  </w:num>
  <w:num w:numId="9">
    <w:abstractNumId w:val="0"/>
  </w:num>
  <w:num w:numId="10">
    <w:abstractNumId w:val="5"/>
  </w:num>
  <w:num w:numId="11">
    <w:abstractNumId w:val="12"/>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NzRkYjFhZjViMzM5M2VkODE0NjJmZTZkMTIwOGEifQ=="/>
  </w:docVars>
  <w:rsids>
    <w:rsidRoot w:val="25346B61"/>
    <w:rsid w:val="25346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02" w:firstLineChars="200"/>
      <w:jc w:val="both"/>
    </w:pPr>
    <w:rPr>
      <w:rFonts w:ascii="Calibri" w:hAnsi="Calibri" w:eastAsia="宋体" w:cs="Times New Roman"/>
      <w:kern w:val="2"/>
      <w:sz w:val="24"/>
      <w:szCs w:val="24"/>
      <w:lang w:val="en-US" w:eastAsia="zh-CN" w:bidi="ar-SA"/>
    </w:rPr>
  </w:style>
  <w:style w:type="paragraph" w:styleId="3">
    <w:name w:val="heading 1"/>
    <w:basedOn w:val="1"/>
    <w:next w:val="1"/>
    <w:qFormat/>
    <w:uiPriority w:val="0"/>
    <w:pPr>
      <w:keepNext/>
      <w:numPr>
        <w:ilvl w:val="0"/>
        <w:numId w:val="1"/>
      </w:numPr>
      <w:spacing w:line="360" w:lineRule="auto"/>
      <w:ind w:firstLine="397" w:firstLineChars="0"/>
      <w:jc w:val="center"/>
      <w:outlineLvl w:val="0"/>
    </w:pPr>
    <w:rPr>
      <w:rFonts w:ascii="Times New Roman" w:hAnsi="Times New Roman" w:eastAsia="宋体"/>
      <w:b/>
      <w:color w:val="000000"/>
      <w:sz w:val="32"/>
    </w:rPr>
  </w:style>
  <w:style w:type="paragraph" w:styleId="2">
    <w:name w:val="heading 2"/>
    <w:basedOn w:val="1"/>
    <w:next w:val="1"/>
    <w:qFormat/>
    <w:uiPriority w:val="9"/>
    <w:pPr>
      <w:keepNext/>
      <w:keepLines/>
      <w:spacing w:line="360" w:lineRule="auto"/>
      <w:ind w:firstLine="0" w:firstLineChars="0"/>
      <w:jc w:val="center"/>
      <w:outlineLvl w:val="1"/>
    </w:pPr>
    <w:rPr>
      <w:rFonts w:ascii="Arial" w:hAnsi="Arial" w:eastAsia="宋体"/>
      <w:b/>
      <w:bCs/>
      <w:kern w:val="0"/>
      <w:sz w:val="28"/>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utoSpaceDE w:val="0"/>
      <w:autoSpaceDN w:val="0"/>
      <w:adjustRightInd w:val="0"/>
      <w:ind w:firstLine="420"/>
      <w:jc w:val="left"/>
    </w:pPr>
    <w:rPr>
      <w:rFonts w:ascii="宋体" w:eastAsia="宋体"/>
      <w:sz w:val="24"/>
      <w:lang w:val="en-US" w:eastAsia="zh-CN" w:bidi="ar-SA"/>
    </w:rPr>
  </w:style>
  <w:style w:type="table" w:customStyle="1" w:styleId="7">
    <w:name w:val="表"/>
    <w:basedOn w:val="5"/>
    <w:qFormat/>
    <w:uiPriority w:val="39"/>
    <w:pPr>
      <w:contextualSpacing/>
    </w:pPr>
    <w:rPr>
      <w:rFonts w:ascii="Calibri" w:hAnsi="Calibri" w:eastAsia="宋体" w:cs="Times New Roman"/>
      <w:sz w:val="24"/>
    </w:rPr>
    <w:tblP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style>
  <w:style w:type="paragraph" w:customStyle="1" w:styleId="8">
    <w:name w:val="Normal Indent"/>
    <w:basedOn w:val="1"/>
    <w:qFormat/>
    <w:uiPriority w:val="0"/>
    <w:pPr>
      <w:widowControl w:val="0"/>
      <w:ind w:firstLine="420"/>
      <w:jc w:val="both"/>
    </w:pPr>
    <w:rPr>
      <w:rFonts w:eastAsia="宋体"/>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2024-09-04T07:00:00Z</dcterms:created>
  <dc:creator>久木木</dc:creator>
  <cp:lastModifiedBy>久木木</cp:lastModifiedBy>
  <dcterms:modified xsi:type="dcterms:W3CDTF">2024-09-04T07:03:22Z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EAE8975E3E7C40579422BFF52EFEC8C6_11</vt:lpwstr>
  </property>
</Properties>
</file>