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948F">
      <w:pPr>
        <w:pStyle w:val="3"/>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i w:val="0"/>
          <w:iCs w:val="0"/>
          <w:lang w:eastAsia="zh-CN"/>
        </w:rPr>
      </w:pPr>
      <w:bookmarkStart w:id="0" w:name="_Toc11802"/>
      <w:r>
        <w:rPr>
          <w:rFonts w:hint="eastAsia" w:ascii="黑体" w:hAnsi="黑体" w:eastAsia="黑体" w:cs="黑体"/>
          <w:i w:val="0"/>
          <w:iCs w:val="0"/>
          <w:lang w:val="en-US" w:eastAsia="zh-CN"/>
        </w:rPr>
        <w:t xml:space="preserve">第五章 </w:t>
      </w:r>
      <w:r>
        <w:rPr>
          <w:rFonts w:hint="eastAsia" w:ascii="黑体" w:hAnsi="黑体" w:eastAsia="黑体" w:cs="黑体"/>
          <w:i w:val="0"/>
          <w:iCs w:val="0"/>
        </w:rPr>
        <w:t>用户需求书</w:t>
      </w:r>
      <w:bookmarkEnd w:id="0"/>
    </w:p>
    <w:p w14:paraId="55A41E84">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b/>
          <w:i w:val="0"/>
          <w:iCs/>
          <w:color w:val="000000"/>
          <w:kern w:val="2"/>
          <w:sz w:val="28"/>
          <w:szCs w:val="28"/>
          <w:lang w:val="en-US" w:eastAsia="zh-CN" w:bidi="ar-SA"/>
        </w:rPr>
      </w:pPr>
      <w:bookmarkStart w:id="1" w:name="_Toc490734196"/>
      <w:r>
        <w:rPr>
          <w:rFonts w:hint="eastAsia" w:ascii="黑体" w:hAnsi="黑体" w:eastAsia="黑体" w:cs="黑体"/>
          <w:b/>
          <w:i w:val="0"/>
          <w:iCs/>
          <w:color w:val="000000"/>
          <w:kern w:val="2"/>
          <w:sz w:val="28"/>
          <w:szCs w:val="28"/>
          <w:lang w:val="en-US" w:eastAsia="zh-CN" w:bidi="ar-SA"/>
        </w:rPr>
        <w:t>一、项目概况</w:t>
      </w:r>
      <w:bookmarkEnd w:id="1"/>
    </w:p>
    <w:p w14:paraId="6A17314D">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1、采购单位: 海南西部中心医院</w:t>
      </w:r>
    </w:p>
    <w:p w14:paraId="5165FB03">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2、项目名称：</w:t>
      </w:r>
      <w:r>
        <w:rPr>
          <w:rFonts w:hint="eastAsia" w:ascii="黑体" w:hAnsi="黑体" w:eastAsia="黑体" w:cs="黑体"/>
          <w:color w:val="000000"/>
          <w:sz w:val="24"/>
          <w:szCs w:val="24"/>
          <w:lang w:eastAsia="zh-CN"/>
        </w:rPr>
        <w:t>海南西部中心医院7号楼一层结构补强加固工程（三次）</w:t>
      </w:r>
    </w:p>
    <w:p w14:paraId="7BCC7E5F">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3、项目预算：</w:t>
      </w:r>
      <w:r>
        <w:rPr>
          <w:rFonts w:hint="eastAsia" w:ascii="黑体" w:hAnsi="黑体" w:eastAsia="黑体" w:cs="黑体"/>
          <w:sz w:val="24"/>
          <w:szCs w:val="24"/>
          <w:lang w:val="en-US" w:eastAsia="zh-CN"/>
        </w:rPr>
        <w:t>271713.38</w:t>
      </w:r>
      <w:r>
        <w:rPr>
          <w:rFonts w:hint="eastAsia" w:ascii="黑体" w:hAnsi="黑体" w:eastAsia="黑体" w:cs="黑体"/>
          <w:sz w:val="24"/>
          <w:szCs w:val="24"/>
        </w:rPr>
        <w:t>元</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包干费</w:t>
      </w:r>
      <w:r>
        <w:rPr>
          <w:rFonts w:hint="eastAsia" w:ascii="黑体" w:hAnsi="黑体" w:eastAsia="黑体" w:cs="黑体"/>
          <w:sz w:val="24"/>
          <w:szCs w:val="24"/>
          <w:lang w:eastAsia="zh-CN"/>
        </w:rPr>
        <w:t>）</w:t>
      </w:r>
      <w:r>
        <w:rPr>
          <w:rFonts w:hint="eastAsia" w:ascii="黑体" w:hAnsi="黑体" w:eastAsia="黑体" w:cs="黑体"/>
          <w:sz w:val="24"/>
          <w:szCs w:val="24"/>
        </w:rPr>
        <w:t>，超出采购预算（最高限价）的投标报价，按无效投标处理</w:t>
      </w:r>
      <w:r>
        <w:rPr>
          <w:rFonts w:hint="eastAsia" w:ascii="黑体" w:hAnsi="黑体" w:eastAsia="黑体" w:cs="黑体"/>
          <w:sz w:val="24"/>
          <w:szCs w:val="24"/>
          <w:lang w:eastAsia="zh-CN"/>
        </w:rPr>
        <w:t>。</w:t>
      </w:r>
    </w:p>
    <w:p w14:paraId="1DCCE7B3">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4、项目面积：</w:t>
      </w:r>
      <w:r>
        <w:rPr>
          <w:rFonts w:hint="eastAsia" w:ascii="黑体" w:hAnsi="黑体" w:eastAsia="黑体" w:cs="黑体"/>
          <w:color w:val="000000"/>
          <w:sz w:val="24"/>
          <w:szCs w:val="24"/>
          <w:u w:val="single"/>
          <w:lang w:val="en-US" w:eastAsia="zh-CN"/>
        </w:rPr>
        <w:t>202.96</w:t>
      </w:r>
      <w:r>
        <w:rPr>
          <w:rFonts w:hint="eastAsia" w:ascii="黑体" w:hAnsi="黑体" w:eastAsia="黑体" w:cs="黑体"/>
          <w:color w:val="000000"/>
          <w:sz w:val="24"/>
          <w:szCs w:val="24"/>
        </w:rPr>
        <w:t>平方米</w:t>
      </w:r>
    </w:p>
    <w:p w14:paraId="1DFDC08A">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lang w:val="en-US" w:eastAsia="zh-CN"/>
        </w:rPr>
      </w:pPr>
      <w:r>
        <w:rPr>
          <w:rFonts w:hint="eastAsia" w:ascii="黑体" w:hAnsi="黑体" w:eastAsia="黑体" w:cs="黑体"/>
          <w:color w:val="000000"/>
          <w:sz w:val="24"/>
          <w:szCs w:val="24"/>
        </w:rPr>
        <w:t>5、工  期：</w:t>
      </w:r>
      <w:r>
        <w:rPr>
          <w:rFonts w:hint="eastAsia" w:ascii="黑体" w:hAnsi="黑体" w:eastAsia="黑体" w:cs="黑体"/>
          <w:color w:val="000000"/>
          <w:sz w:val="24"/>
          <w:szCs w:val="24"/>
          <w:lang w:val="en-US" w:eastAsia="zh-CN"/>
        </w:rPr>
        <w:t>45日历天</w:t>
      </w:r>
    </w:p>
    <w:p w14:paraId="4ED03F65">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6、项目分包情况：不允许转包和分包</w:t>
      </w:r>
    </w:p>
    <w:p w14:paraId="1CE65B6B">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7、资金来源：院内自筹资金</w:t>
      </w:r>
    </w:p>
    <w:p w14:paraId="2D3606F6">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8、验收方式：由院方组织有关部门进行验收，中标方须派相关负责人按院方指定地点现场共同验收。</w:t>
      </w:r>
    </w:p>
    <w:p w14:paraId="6BDD1F76">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sz w:val="24"/>
          <w:szCs w:val="24"/>
        </w:rPr>
      </w:pPr>
      <w:r>
        <w:rPr>
          <w:rFonts w:hint="eastAsia" w:ascii="黑体" w:hAnsi="黑体" w:eastAsia="黑体" w:cs="黑体"/>
          <w:color w:val="000000"/>
          <w:sz w:val="24"/>
          <w:szCs w:val="24"/>
        </w:rPr>
        <w:t>9、结算方式:</w:t>
      </w:r>
      <w:r>
        <w:rPr>
          <w:rFonts w:hint="eastAsia" w:ascii="黑体" w:hAnsi="黑体" w:eastAsia="黑体" w:cs="黑体"/>
          <w:sz w:val="24"/>
          <w:szCs w:val="24"/>
        </w:rPr>
        <w:t>按合同约定方式付款</w:t>
      </w:r>
    </w:p>
    <w:p w14:paraId="46C24049">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b/>
          <w:i w:val="0"/>
          <w:iCs/>
          <w:color w:val="000000"/>
          <w:kern w:val="2"/>
          <w:sz w:val="28"/>
          <w:szCs w:val="28"/>
          <w:lang w:val="en-US" w:eastAsia="zh-CN" w:bidi="ar-SA"/>
        </w:rPr>
      </w:pPr>
      <w:r>
        <w:rPr>
          <w:rFonts w:hint="eastAsia" w:ascii="黑体" w:hAnsi="黑体" w:eastAsia="黑体" w:cs="黑体"/>
          <w:b/>
          <w:i w:val="0"/>
          <w:iCs/>
          <w:color w:val="000000"/>
          <w:kern w:val="2"/>
          <w:sz w:val="28"/>
          <w:szCs w:val="28"/>
          <w:lang w:val="en-US" w:eastAsia="zh-CN" w:bidi="ar-SA"/>
        </w:rPr>
        <w:t>二、采购产品及技术参数等要求</w:t>
      </w:r>
    </w:p>
    <w:tbl>
      <w:tblPr>
        <w:tblStyle w:val="4"/>
        <w:tblW w:w="7999" w:type="dxa"/>
        <w:jc w:val="center"/>
        <w:tblLayout w:type="autofit"/>
        <w:tblCellMar>
          <w:top w:w="0" w:type="dxa"/>
          <w:left w:w="0" w:type="dxa"/>
          <w:bottom w:w="0" w:type="dxa"/>
          <w:right w:w="0" w:type="dxa"/>
        </w:tblCellMar>
      </w:tblPr>
      <w:tblGrid>
        <w:gridCol w:w="612"/>
        <w:gridCol w:w="1690"/>
        <w:gridCol w:w="5697"/>
      </w:tblGrid>
      <w:tr w14:paraId="269ACEE6">
        <w:tblPrEx>
          <w:tblCellMar>
            <w:top w:w="0" w:type="dxa"/>
            <w:left w:w="0" w:type="dxa"/>
            <w:bottom w:w="0" w:type="dxa"/>
            <w:right w:w="0" w:type="dxa"/>
          </w:tblCellMar>
        </w:tblPrEx>
        <w:trPr>
          <w:trHeight w:val="640"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0C8D08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690" w:type="dxa"/>
            <w:tcBorders>
              <w:top w:val="single" w:color="000000" w:sz="4" w:space="0"/>
              <w:left w:val="nil"/>
              <w:bottom w:val="single" w:color="000000" w:sz="4" w:space="0"/>
              <w:right w:val="single" w:color="000000" w:sz="4" w:space="0"/>
            </w:tcBorders>
            <w:noWrap/>
            <w:vAlign w:val="center"/>
          </w:tcPr>
          <w:p w14:paraId="5F25AF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采购</w:t>
            </w:r>
          </w:p>
          <w:p w14:paraId="50CD71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产品</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7FCD6D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color w:val="000000"/>
                <w:sz w:val="24"/>
                <w:szCs w:val="24"/>
              </w:rPr>
              <w:t>技术参数</w:t>
            </w:r>
          </w:p>
        </w:tc>
      </w:tr>
      <w:tr w14:paraId="77423F0F">
        <w:tblPrEx>
          <w:tblCellMar>
            <w:top w:w="0" w:type="dxa"/>
            <w:left w:w="0" w:type="dxa"/>
            <w:bottom w:w="0" w:type="dxa"/>
            <w:right w:w="0" w:type="dxa"/>
          </w:tblCellMar>
        </w:tblPrEx>
        <w:trPr>
          <w:trHeight w:val="953"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4FB9441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1</w:t>
            </w:r>
          </w:p>
        </w:tc>
        <w:tc>
          <w:tcPr>
            <w:tcW w:w="1690" w:type="dxa"/>
            <w:tcBorders>
              <w:top w:val="single" w:color="000000" w:sz="4" w:space="0"/>
              <w:left w:val="nil"/>
              <w:bottom w:val="single" w:color="000000" w:sz="4" w:space="0"/>
              <w:right w:val="single" w:color="000000" w:sz="4" w:space="0"/>
            </w:tcBorders>
            <w:noWrap/>
            <w:vAlign w:val="center"/>
          </w:tcPr>
          <w:p w14:paraId="09FC7B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建筑结构粘碳胶</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2735EAF6">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color w:val="000000"/>
                <w:kern w:val="0"/>
                <w:sz w:val="24"/>
                <w:szCs w:val="24"/>
              </w:rPr>
              <w:t xml:space="preserve"> </w:t>
            </w:r>
            <w:r>
              <w:rPr>
                <w:rFonts w:hint="eastAsia" w:ascii="黑体" w:hAnsi="黑体" w:eastAsia="黑体" w:cs="黑体"/>
                <w:color w:val="000000"/>
                <w:kern w:val="0"/>
                <w:sz w:val="24"/>
                <w:szCs w:val="24"/>
                <w:lang w:val="en-US" w:eastAsia="zh-CN"/>
              </w:rPr>
              <w:t>A级，抗拉强度≥38</w:t>
            </w:r>
            <w:r>
              <w:rPr>
                <w:rFonts w:hint="eastAsia" w:ascii="黑体" w:hAnsi="黑体" w:eastAsia="黑体" w:cs="黑体"/>
                <w:sz w:val="24"/>
                <w:szCs w:val="24"/>
                <w:lang w:val="en-US" w:eastAsia="zh-CN"/>
              </w:rPr>
              <w:t>Mpa，受拉弹性模量</w:t>
            </w:r>
            <w:r>
              <w:rPr>
                <w:rFonts w:hint="eastAsia" w:ascii="黑体" w:hAnsi="黑体" w:eastAsia="黑体" w:cs="黑体"/>
                <w:color w:val="000000"/>
                <w:kern w:val="0"/>
                <w:sz w:val="24"/>
                <w:szCs w:val="24"/>
                <w:lang w:val="en-US" w:eastAsia="zh-CN"/>
              </w:rPr>
              <w:t>≥2.4×10</w:t>
            </w:r>
            <w:r>
              <w:rPr>
                <w:rFonts w:hint="eastAsia" w:ascii="黑体" w:hAnsi="黑体" w:eastAsia="黑体" w:cs="黑体"/>
                <w:color w:val="000000"/>
                <w:kern w:val="0"/>
                <w:sz w:val="24"/>
                <w:szCs w:val="24"/>
                <w:vertAlign w:val="superscript"/>
                <w:lang w:val="en-US" w:eastAsia="zh-CN"/>
              </w:rPr>
              <w:t>3</w:t>
            </w:r>
            <w:r>
              <w:rPr>
                <w:rFonts w:hint="eastAsia" w:ascii="黑体" w:hAnsi="黑体" w:eastAsia="黑体" w:cs="黑体"/>
                <w:sz w:val="24"/>
                <w:szCs w:val="24"/>
                <w:lang w:val="en-US" w:eastAsia="zh-CN"/>
              </w:rPr>
              <w:t>Mpa，伸长率</w:t>
            </w:r>
            <w:r>
              <w:rPr>
                <w:rFonts w:hint="eastAsia" w:ascii="黑体" w:hAnsi="黑体" w:eastAsia="黑体" w:cs="黑体"/>
                <w:color w:val="000000"/>
                <w:kern w:val="0"/>
                <w:sz w:val="24"/>
                <w:szCs w:val="24"/>
                <w:lang w:val="en-US" w:eastAsia="zh-CN"/>
              </w:rPr>
              <w:t>≥1.5%，抗弯强度≥50</w:t>
            </w:r>
            <w:r>
              <w:rPr>
                <w:rFonts w:hint="eastAsia" w:ascii="黑体" w:hAnsi="黑体" w:eastAsia="黑体" w:cs="黑体"/>
                <w:sz w:val="24"/>
                <w:szCs w:val="24"/>
                <w:lang w:val="en-US" w:eastAsia="zh-CN"/>
              </w:rPr>
              <w:t>Mpa</w:t>
            </w:r>
          </w:p>
        </w:tc>
      </w:tr>
      <w:tr w14:paraId="3DEAA14F">
        <w:tblPrEx>
          <w:tblCellMar>
            <w:top w:w="0" w:type="dxa"/>
            <w:left w:w="0" w:type="dxa"/>
            <w:bottom w:w="0" w:type="dxa"/>
            <w:right w:w="0" w:type="dxa"/>
          </w:tblCellMar>
        </w:tblPrEx>
        <w:trPr>
          <w:trHeight w:val="1111"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0975DCC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2</w:t>
            </w:r>
          </w:p>
        </w:tc>
        <w:tc>
          <w:tcPr>
            <w:tcW w:w="1690" w:type="dxa"/>
            <w:tcBorders>
              <w:top w:val="single" w:color="000000" w:sz="4" w:space="0"/>
              <w:left w:val="nil"/>
              <w:bottom w:val="single" w:color="000000" w:sz="4" w:space="0"/>
              <w:right w:val="single" w:color="000000" w:sz="4" w:space="0"/>
            </w:tcBorders>
            <w:noWrap/>
            <w:vAlign w:val="center"/>
          </w:tcPr>
          <w:p w14:paraId="094072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碳纤维布</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1B0482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厚度0.167，弹性模量不小于240Gpa，极限强度不小于3400Mpa，伸长率不大于1.7%，宽度和间距可调整</w:t>
            </w:r>
          </w:p>
        </w:tc>
      </w:tr>
      <w:tr w14:paraId="0529B971">
        <w:tblPrEx>
          <w:tblCellMar>
            <w:top w:w="0" w:type="dxa"/>
            <w:left w:w="0" w:type="dxa"/>
            <w:bottom w:w="0" w:type="dxa"/>
            <w:right w:w="0" w:type="dxa"/>
          </w:tblCellMar>
        </w:tblPrEx>
        <w:trPr>
          <w:trHeight w:val="425"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2CDDE3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3</w:t>
            </w:r>
          </w:p>
        </w:tc>
        <w:tc>
          <w:tcPr>
            <w:tcW w:w="1690" w:type="dxa"/>
            <w:tcBorders>
              <w:top w:val="single" w:color="000000" w:sz="4" w:space="0"/>
              <w:left w:val="nil"/>
              <w:bottom w:val="single" w:color="000000" w:sz="4" w:space="0"/>
              <w:right w:val="single" w:color="000000" w:sz="4" w:space="0"/>
            </w:tcBorders>
            <w:noWrap/>
            <w:vAlign w:val="center"/>
          </w:tcPr>
          <w:p w14:paraId="1AEA36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eastAsia="zh-CN"/>
              </w:rPr>
            </w:pPr>
            <w:r>
              <w:rPr>
                <w:rFonts w:hint="eastAsia" w:ascii="黑体" w:hAnsi="黑体" w:eastAsia="黑体" w:cs="黑体"/>
                <w:color w:val="000000"/>
                <w:sz w:val="24"/>
                <w:szCs w:val="24"/>
                <w:u w:val="none"/>
                <w:lang w:val="en-US" w:eastAsia="zh-CN"/>
              </w:rPr>
              <w:t>粘钢材料</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7A026E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textAlignment w:val="center"/>
              <w:rPr>
                <w:rFonts w:hint="eastAsia" w:ascii="黑体" w:hAnsi="黑体" w:eastAsia="黑体" w:cs="黑体"/>
                <w:sz w:val="24"/>
                <w:szCs w:val="24"/>
                <w:lang w:val="en-US" w:eastAsia="zh-CN"/>
              </w:rPr>
            </w:pPr>
            <w:r>
              <w:rPr>
                <w:rFonts w:hint="eastAsia" w:ascii="黑体" w:hAnsi="黑体" w:eastAsia="黑体" w:cs="黑体"/>
                <w:color w:val="000000"/>
                <w:sz w:val="24"/>
                <w:szCs w:val="24"/>
                <w:u w:val="none"/>
                <w:lang w:val="en-US" w:eastAsia="zh-CN"/>
              </w:rPr>
              <w:t>国产钢材Q345</w:t>
            </w:r>
          </w:p>
        </w:tc>
      </w:tr>
      <w:tr w14:paraId="54E01DB1">
        <w:tblPrEx>
          <w:tblCellMar>
            <w:top w:w="0" w:type="dxa"/>
            <w:left w:w="0" w:type="dxa"/>
            <w:bottom w:w="0" w:type="dxa"/>
            <w:right w:w="0" w:type="dxa"/>
          </w:tblCellMar>
        </w:tblPrEx>
        <w:trPr>
          <w:trHeight w:val="662" w:hRule="atLeast"/>
          <w:jc w:val="center"/>
        </w:trPr>
        <w:tc>
          <w:tcPr>
            <w:tcW w:w="612" w:type="dxa"/>
            <w:tcBorders>
              <w:top w:val="single" w:color="000000" w:sz="4" w:space="0"/>
              <w:left w:val="single" w:color="000000" w:sz="4" w:space="0"/>
              <w:bottom w:val="single" w:color="000000" w:sz="4" w:space="0"/>
              <w:right w:val="single" w:color="000000" w:sz="4" w:space="0"/>
            </w:tcBorders>
            <w:noWrap/>
            <w:vAlign w:val="center"/>
          </w:tcPr>
          <w:p w14:paraId="502216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黑体" w:hAnsi="黑体" w:eastAsia="黑体" w:cs="黑体"/>
                <w:color w:val="000000"/>
                <w:sz w:val="24"/>
                <w:szCs w:val="24"/>
              </w:rPr>
            </w:pPr>
            <w:r>
              <w:rPr>
                <w:rFonts w:hint="eastAsia" w:ascii="黑体" w:hAnsi="黑体" w:eastAsia="黑体" w:cs="黑体"/>
                <w:b/>
                <w:bCs/>
                <w:i w:val="0"/>
                <w:iCs w:val="0"/>
                <w:sz w:val="24"/>
                <w:szCs w:val="24"/>
                <w:lang w:val="en-US" w:eastAsia="zh-CN"/>
              </w:rPr>
              <w:t>*</w:t>
            </w:r>
            <w:r>
              <w:rPr>
                <w:rFonts w:hint="eastAsia" w:ascii="黑体" w:hAnsi="黑体" w:eastAsia="黑体" w:cs="黑体"/>
                <w:color w:val="000000"/>
                <w:sz w:val="24"/>
                <w:szCs w:val="24"/>
              </w:rPr>
              <w:t>4</w:t>
            </w:r>
          </w:p>
        </w:tc>
        <w:tc>
          <w:tcPr>
            <w:tcW w:w="1690" w:type="dxa"/>
            <w:tcBorders>
              <w:top w:val="single" w:color="000000" w:sz="4" w:space="0"/>
              <w:left w:val="nil"/>
              <w:bottom w:val="single" w:color="000000" w:sz="4" w:space="0"/>
              <w:right w:val="single" w:color="000000" w:sz="4" w:space="0"/>
            </w:tcBorders>
            <w:noWrap/>
            <w:vAlign w:val="center"/>
          </w:tcPr>
          <w:p w14:paraId="3E36BAA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center"/>
              <w:rPr>
                <w:rFonts w:hint="eastAsia" w:ascii="黑体" w:hAnsi="黑体" w:eastAsia="黑体" w:cs="黑体"/>
                <w:sz w:val="24"/>
                <w:szCs w:val="24"/>
                <w:lang w:val="en-US"/>
              </w:rPr>
            </w:pPr>
            <w:r>
              <w:rPr>
                <w:rFonts w:hint="eastAsia" w:ascii="黑体" w:hAnsi="黑体" w:eastAsia="黑体" w:cs="黑体"/>
                <w:color w:val="000000"/>
                <w:sz w:val="24"/>
                <w:szCs w:val="24"/>
                <w:u w:val="none"/>
                <w:lang w:val="en-US" w:eastAsia="zh-CN"/>
              </w:rPr>
              <w:t>粘钢胶</w:t>
            </w:r>
          </w:p>
        </w:tc>
        <w:tc>
          <w:tcPr>
            <w:tcW w:w="5697" w:type="dxa"/>
            <w:tcBorders>
              <w:top w:val="single" w:color="000000" w:sz="4" w:space="0"/>
              <w:left w:val="single" w:color="000000" w:sz="4" w:space="0"/>
              <w:bottom w:val="single" w:color="000000" w:sz="4" w:space="0"/>
              <w:right w:val="single" w:color="000000" w:sz="4" w:space="0"/>
            </w:tcBorders>
            <w:noWrap/>
            <w:vAlign w:val="center"/>
          </w:tcPr>
          <w:p w14:paraId="2409CD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left"/>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国产A级结构胶，</w:t>
            </w:r>
            <w:r>
              <w:rPr>
                <w:rFonts w:hint="eastAsia" w:ascii="黑体" w:hAnsi="黑体" w:eastAsia="黑体" w:cs="黑体"/>
                <w:color w:val="000000"/>
                <w:kern w:val="0"/>
                <w:sz w:val="24"/>
                <w:szCs w:val="24"/>
                <w:lang w:val="en-US" w:eastAsia="zh-CN"/>
              </w:rPr>
              <w:t>抗拉强度≥38</w:t>
            </w:r>
            <w:r>
              <w:rPr>
                <w:rFonts w:hint="eastAsia" w:ascii="黑体" w:hAnsi="黑体" w:eastAsia="黑体" w:cs="黑体"/>
                <w:sz w:val="24"/>
                <w:szCs w:val="24"/>
                <w:lang w:val="en-US" w:eastAsia="zh-CN"/>
              </w:rPr>
              <w:t>Mpa，受拉弹性模量</w:t>
            </w:r>
            <w:r>
              <w:rPr>
                <w:rFonts w:hint="eastAsia" w:ascii="黑体" w:hAnsi="黑体" w:eastAsia="黑体" w:cs="黑体"/>
                <w:color w:val="000000"/>
                <w:kern w:val="0"/>
                <w:sz w:val="24"/>
                <w:szCs w:val="24"/>
                <w:lang w:val="en-US" w:eastAsia="zh-CN"/>
              </w:rPr>
              <w:t>≥2.4×10</w:t>
            </w:r>
            <w:r>
              <w:rPr>
                <w:rFonts w:hint="eastAsia" w:ascii="黑体" w:hAnsi="黑体" w:eastAsia="黑体" w:cs="黑体"/>
                <w:color w:val="000000"/>
                <w:kern w:val="0"/>
                <w:sz w:val="24"/>
                <w:szCs w:val="24"/>
                <w:vertAlign w:val="superscript"/>
                <w:lang w:val="en-US" w:eastAsia="zh-CN"/>
              </w:rPr>
              <w:t>3</w:t>
            </w:r>
            <w:r>
              <w:rPr>
                <w:rFonts w:hint="eastAsia" w:ascii="黑体" w:hAnsi="黑体" w:eastAsia="黑体" w:cs="黑体"/>
                <w:sz w:val="24"/>
                <w:szCs w:val="24"/>
                <w:lang w:val="en-US" w:eastAsia="zh-CN"/>
              </w:rPr>
              <w:t>Mpa，伸长率</w:t>
            </w:r>
            <w:r>
              <w:rPr>
                <w:rFonts w:hint="eastAsia" w:ascii="黑体" w:hAnsi="黑体" w:eastAsia="黑体" w:cs="黑体"/>
                <w:color w:val="000000"/>
                <w:kern w:val="0"/>
                <w:sz w:val="24"/>
                <w:szCs w:val="24"/>
                <w:lang w:val="en-US" w:eastAsia="zh-CN"/>
              </w:rPr>
              <w:t>≥1.5%，抗弯强度≥50</w:t>
            </w:r>
            <w:r>
              <w:rPr>
                <w:rFonts w:hint="eastAsia" w:ascii="黑体" w:hAnsi="黑体" w:eastAsia="黑体" w:cs="黑体"/>
                <w:sz w:val="24"/>
                <w:szCs w:val="24"/>
                <w:lang w:val="en-US" w:eastAsia="zh-CN"/>
              </w:rPr>
              <w:t>Mpa</w:t>
            </w:r>
          </w:p>
        </w:tc>
      </w:tr>
    </w:tbl>
    <w:p w14:paraId="69133995">
      <w:pPr>
        <w:pageBreakBefore w:val="0"/>
        <w:widowControl w:val="0"/>
        <w:numPr>
          <w:ilvl w:val="1"/>
          <w:numId w:val="0"/>
        </w:numPr>
        <w:kinsoku/>
        <w:overflowPunct/>
        <w:bidi w:val="0"/>
        <w:spacing w:before="0" w:beforeLines="0" w:after="0" w:afterLines="0" w:line="360" w:lineRule="auto"/>
        <w:ind w:left="0" w:leftChars="0"/>
        <w:jc w:val="both"/>
        <w:rPr>
          <w:rFonts w:hint="eastAsia" w:ascii="黑体" w:hAnsi="黑体" w:eastAsia="黑体" w:cs="黑体"/>
          <w:i w:val="0"/>
          <w:iCs w:val="0"/>
          <w:kern w:val="2"/>
          <w:sz w:val="28"/>
          <w:szCs w:val="28"/>
          <w:lang w:val="en-US" w:eastAsia="zh-CN" w:bidi="ar-SA"/>
        </w:rPr>
      </w:pPr>
      <w:r>
        <w:rPr>
          <w:rFonts w:hint="eastAsia" w:ascii="黑体" w:hAnsi="黑体" w:eastAsia="黑体" w:cs="黑体"/>
          <w:b/>
          <w:i w:val="0"/>
          <w:iCs/>
          <w:color w:val="000000"/>
          <w:kern w:val="2"/>
          <w:sz w:val="28"/>
          <w:szCs w:val="28"/>
          <w:lang w:val="en-US" w:eastAsia="zh-CN" w:bidi="ar-SA"/>
        </w:rPr>
        <w:t>三、商务要求</w:t>
      </w:r>
    </w:p>
    <w:p w14:paraId="6A978035">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资质要求</w:t>
      </w:r>
    </w:p>
    <w:p w14:paraId="70902C0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中标方须具备</w:t>
      </w:r>
      <w:r>
        <w:rPr>
          <w:rFonts w:hint="eastAsia" w:ascii="黑体" w:hAnsi="黑体" w:eastAsia="黑体" w:cs="黑体"/>
          <w:i w:val="0"/>
          <w:iCs w:val="0"/>
          <w:sz w:val="24"/>
          <w:szCs w:val="24"/>
          <w:lang w:val="en-US" w:eastAsia="zh-CN"/>
        </w:rPr>
        <w:t>建筑工程施工总承包贰级（或以上）</w:t>
      </w:r>
      <w:r>
        <w:rPr>
          <w:rFonts w:hint="eastAsia" w:ascii="黑体" w:hAnsi="黑体" w:eastAsia="黑体" w:cs="黑体"/>
          <w:i w:val="0"/>
          <w:iCs w:val="0"/>
          <w:kern w:val="2"/>
          <w:sz w:val="24"/>
          <w:szCs w:val="24"/>
          <w:lang w:val="en-US" w:eastAsia="zh-CN" w:bidi="ar-SA"/>
        </w:rPr>
        <w:t>资质，且资质等级应符合国家及地方相关规定，具备有效的安全生产许可证。同时，中标方应具有类似项目的施工经验，提供过往项目的合同证明文件，以证明其具备承担本项目施工的能力。项目负责人需具备相关专业的二级及以上注册建造师资格，且具有丰富的项目管理经验，近三年内无不良工程业绩记录。</w:t>
      </w:r>
    </w:p>
    <w:p w14:paraId="3C0E8D76">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材料要求</w:t>
      </w:r>
    </w:p>
    <w:p w14:paraId="744149E0">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2"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b/>
          <w:bCs/>
          <w:i w:val="0"/>
          <w:iCs w:val="0"/>
          <w:sz w:val="24"/>
          <w:szCs w:val="24"/>
          <w:lang w:val="en-US" w:eastAsia="zh-CN"/>
        </w:rPr>
        <w:t>*</w:t>
      </w:r>
      <w:r>
        <w:rPr>
          <w:rFonts w:hint="eastAsia" w:ascii="黑体" w:hAnsi="黑体" w:eastAsia="黑体" w:cs="黑体"/>
          <w:i w:val="0"/>
          <w:iCs w:val="0"/>
          <w:kern w:val="2"/>
          <w:sz w:val="24"/>
          <w:szCs w:val="24"/>
          <w:lang w:val="en-US" w:eastAsia="zh-CN" w:bidi="ar-SA"/>
        </w:rPr>
        <w:t>1、所有加固材料应符合国家相关标准和规范要求，具有质量合格证明文件。例如，钢材应具有出厂质量证明书和力学性能检验报告；碳纤维布应具有相关标准规定的物理力学性能指标；粘钢胶除满足相应的技术参数要求外，还需提供环保检测报告，证明其符合医院场所的环保要求，无有害气体挥发，不会对医院环境和人员健康造成影响。</w:t>
      </w:r>
    </w:p>
    <w:p w14:paraId="16390036">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2"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b/>
          <w:bCs/>
          <w:i w:val="0"/>
          <w:iCs w:val="0"/>
          <w:sz w:val="24"/>
          <w:szCs w:val="24"/>
          <w:lang w:val="en-US" w:eastAsia="zh-CN"/>
        </w:rPr>
        <w:t>*</w:t>
      </w:r>
      <w:r>
        <w:rPr>
          <w:rFonts w:hint="eastAsia" w:ascii="黑体" w:hAnsi="黑体" w:eastAsia="黑体" w:cs="黑体"/>
          <w:i w:val="0"/>
          <w:iCs w:val="0"/>
          <w:kern w:val="2"/>
          <w:sz w:val="24"/>
          <w:szCs w:val="24"/>
          <w:lang w:val="en-US" w:eastAsia="zh-CN" w:bidi="ar-SA"/>
        </w:rPr>
        <w:t>2、采购方发现中标方采购或使用不符合设计或规范要求的材料、设备时，采购方有权要求中标方对所采购或使用的材料和设备进行修复、拆除、更换等，由此产生的费用由中标方承担。</w:t>
      </w:r>
    </w:p>
    <w:p w14:paraId="1BBCB55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（三）施工要求</w:t>
      </w:r>
    </w:p>
    <w:p w14:paraId="0AFF2AB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2"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b/>
          <w:bCs/>
          <w:i w:val="0"/>
          <w:iCs w:val="0"/>
          <w:sz w:val="24"/>
          <w:szCs w:val="24"/>
          <w:lang w:val="en-US" w:eastAsia="zh-CN"/>
        </w:rPr>
        <w:t>*</w:t>
      </w:r>
      <w:r>
        <w:rPr>
          <w:rFonts w:hint="eastAsia" w:ascii="黑体" w:hAnsi="黑体" w:eastAsia="黑体" w:cs="黑体"/>
          <w:i w:val="0"/>
          <w:iCs w:val="0"/>
          <w:kern w:val="2"/>
          <w:sz w:val="24"/>
          <w:szCs w:val="24"/>
          <w:lang w:val="en-US" w:eastAsia="zh-CN" w:bidi="ar-SA"/>
        </w:rPr>
        <w:t>1、中标方应严格按照加固设计方案和相关施工规范进行施工，确保加固工程的质量和安全。</w:t>
      </w:r>
    </w:p>
    <w:p w14:paraId="3A30135C">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2、加强对施工过程的监控和管理，做好施工记录和质量检验工作，及时发现和解决施工中出现的问题。</w:t>
      </w:r>
    </w:p>
    <w:p w14:paraId="3B777B7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3、中标方在施工中应注意爱护室内设施，节约用水用电，遵守院方管理规定。</w:t>
      </w:r>
    </w:p>
    <w:p w14:paraId="0B995F49">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4、中标方在施工中应注意避免或减少对正常的医疗工作秩序的影响。</w:t>
      </w:r>
    </w:p>
    <w:p w14:paraId="4990672C">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5、中标方必须自行负责材料运输，装卸，保管以及材料的检查等施工工作。</w:t>
      </w:r>
    </w:p>
    <w:p w14:paraId="19E3410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6、中标方施工人员必须遵守招标方施工现场规章制度，服从院方的管理，做到文明安全施工，对在施工中产生的垃圾及时清运出场，做到工完场清。</w:t>
      </w:r>
    </w:p>
    <w:p w14:paraId="338EF82A">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7、在施工中，如果由于中标方自身原因造成损坏的一切设施物品均需照价赔偿或复原。</w:t>
      </w:r>
    </w:p>
    <w:p w14:paraId="6A790331">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8、因中标方原因造成施工质量不合格，中标方应在院方规定的时间无偿返工，达到质量验收标准。</w:t>
      </w:r>
    </w:p>
    <w:p w14:paraId="2826A88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9、在施工过程中，中标方人员所发生的一切安全事故以及造成的经济损失和法律责任，由中标方自行承担。</w:t>
      </w:r>
    </w:p>
    <w:p w14:paraId="0F65931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10、中标方必须委派现场专职施工负责人，负责处理与本工程相关的一切事务，其他现场管理人员必须满足施工需要，保证工程顺利进行。</w:t>
      </w:r>
    </w:p>
    <w:p w14:paraId="3D444583">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（四）验收要求</w:t>
      </w:r>
    </w:p>
    <w:p w14:paraId="61352D7E">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1、加固工程完成后，应按照国家相关标准和规范进行质量验收。</w:t>
      </w:r>
    </w:p>
    <w:p w14:paraId="473C1D35">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2、验收应由采购方与中标方共同进行，验收合格后方可投入使用。</w:t>
      </w:r>
    </w:p>
    <w:p w14:paraId="6E66A1A3">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2"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b/>
          <w:bCs/>
          <w:i w:val="0"/>
          <w:iCs w:val="0"/>
          <w:sz w:val="24"/>
          <w:szCs w:val="24"/>
          <w:lang w:val="en-US" w:eastAsia="zh-CN"/>
        </w:rPr>
        <w:t>*</w:t>
      </w:r>
      <w:r>
        <w:rPr>
          <w:rFonts w:hint="eastAsia" w:ascii="黑体" w:hAnsi="黑体" w:eastAsia="黑体" w:cs="黑体"/>
          <w:i w:val="0"/>
          <w:iCs w:val="0"/>
          <w:kern w:val="2"/>
          <w:sz w:val="24"/>
          <w:szCs w:val="24"/>
          <w:lang w:val="en-US" w:eastAsia="zh-CN" w:bidi="ar-SA"/>
        </w:rPr>
        <w:t>3、工程竣工验收合格后，一个月内必须向采购方提交叁套装订成册的竣工资料。</w:t>
      </w:r>
    </w:p>
    <w:p w14:paraId="37E20D81">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360" w:lineRule="auto"/>
        <w:ind w:left="0" w:leftChars="0" w:firstLine="480" w:firstLineChars="200"/>
        <w:jc w:val="both"/>
        <w:rPr>
          <w:rFonts w:hint="eastAsia" w:ascii="黑体" w:hAnsi="黑体" w:eastAsia="黑体" w:cs="黑体"/>
          <w:i w:val="0"/>
          <w:iCs w:val="0"/>
          <w:kern w:val="2"/>
          <w:sz w:val="24"/>
          <w:szCs w:val="24"/>
          <w:lang w:val="en-US" w:eastAsia="zh-CN" w:bidi="ar-SA"/>
        </w:rPr>
      </w:pPr>
      <w:r>
        <w:rPr>
          <w:rFonts w:hint="eastAsia" w:ascii="黑体" w:hAnsi="黑体" w:eastAsia="黑体" w:cs="黑体"/>
          <w:i w:val="0"/>
          <w:iCs w:val="0"/>
          <w:kern w:val="2"/>
          <w:sz w:val="24"/>
          <w:szCs w:val="24"/>
          <w:lang w:val="en-US" w:eastAsia="zh-CN" w:bidi="ar-SA"/>
        </w:rPr>
        <w:t>*4、承担本工程施工范围内的材料检测费用。</w:t>
      </w:r>
    </w:p>
    <w:p w14:paraId="25FC9F52">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五</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质保期</w:t>
      </w:r>
    </w:p>
    <w:p w14:paraId="0C994387">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b/>
          <w:bCs/>
          <w:color w:val="000000"/>
          <w:sz w:val="24"/>
          <w:szCs w:val="24"/>
          <w:lang w:eastAsia="zh-CN"/>
        </w:rPr>
      </w:pPr>
      <w:r>
        <w:rPr>
          <w:rFonts w:hint="eastAsia" w:ascii="黑体" w:hAnsi="黑体" w:eastAsia="黑体" w:cs="黑体"/>
          <w:color w:val="000000"/>
          <w:sz w:val="24"/>
          <w:szCs w:val="24"/>
          <w:lang w:val="en-US" w:eastAsia="zh-CN"/>
        </w:rPr>
        <w:t>1、</w:t>
      </w:r>
      <w:r>
        <w:rPr>
          <w:rFonts w:hint="eastAsia" w:ascii="黑体" w:hAnsi="黑体" w:eastAsia="黑体" w:cs="黑体"/>
          <w:color w:val="000000"/>
          <w:sz w:val="24"/>
          <w:szCs w:val="24"/>
        </w:rPr>
        <w:t>验收交付之日起2年</w:t>
      </w:r>
      <w:r>
        <w:rPr>
          <w:rFonts w:hint="eastAsia" w:ascii="黑体" w:hAnsi="黑体" w:eastAsia="黑体" w:cs="黑体"/>
          <w:bCs/>
          <w:color w:val="000000"/>
          <w:sz w:val="24"/>
          <w:szCs w:val="24"/>
        </w:rPr>
        <w:t>内</w:t>
      </w:r>
      <w:r>
        <w:rPr>
          <w:rFonts w:hint="eastAsia" w:ascii="黑体" w:hAnsi="黑体" w:eastAsia="黑体" w:cs="黑体"/>
          <w:color w:val="000000"/>
          <w:sz w:val="24"/>
          <w:szCs w:val="24"/>
        </w:rPr>
        <w:t>，</w:t>
      </w:r>
      <w:r>
        <w:rPr>
          <w:rFonts w:hint="eastAsia" w:ascii="黑体" w:hAnsi="黑体" w:eastAsia="黑体" w:cs="黑体"/>
          <w:b/>
          <w:bCs/>
          <w:color w:val="000000"/>
          <w:sz w:val="24"/>
          <w:szCs w:val="24"/>
        </w:rPr>
        <w:t>对所供应的产品质量问题提供免费质保或更换</w:t>
      </w:r>
      <w:r>
        <w:rPr>
          <w:rFonts w:hint="eastAsia" w:ascii="黑体" w:hAnsi="黑体" w:eastAsia="黑体" w:cs="黑体"/>
          <w:b/>
          <w:bCs/>
          <w:color w:val="000000"/>
          <w:sz w:val="24"/>
          <w:szCs w:val="24"/>
          <w:lang w:eastAsia="zh-CN"/>
        </w:rPr>
        <w:t>。</w:t>
      </w:r>
    </w:p>
    <w:p w14:paraId="0AE15247">
      <w:pPr>
        <w:keepNext w:val="0"/>
        <w:keepLines w:val="0"/>
        <w:pageBreakBefore w:val="0"/>
        <w:kinsoku/>
        <w:wordWrap/>
        <w:overflowPunct/>
        <w:topLinePunct w:val="0"/>
        <w:autoSpaceDE/>
        <w:autoSpaceDN/>
        <w:bidi w:val="0"/>
        <w:adjustRightInd/>
        <w:spacing w:line="360" w:lineRule="auto"/>
        <w:ind w:left="0" w:firstLine="480" w:firstLineChars="200"/>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lang w:eastAsia="zh-CN"/>
        </w:rPr>
        <w:t xml:space="preserve">如发现因产品质量问题导致的结构安全隐患或其他质量问题，中标方应在接到通知后的 </w:t>
      </w:r>
      <w:r>
        <w:rPr>
          <w:rFonts w:hint="eastAsia" w:ascii="黑体" w:hAnsi="黑体" w:eastAsia="黑体" w:cs="黑体"/>
          <w:b w:val="0"/>
          <w:bCs w:val="0"/>
          <w:color w:val="000000"/>
          <w:sz w:val="24"/>
          <w:szCs w:val="24"/>
          <w:lang w:val="en-US" w:eastAsia="zh-CN"/>
        </w:rPr>
        <w:t>0.5</w:t>
      </w:r>
      <w:r>
        <w:rPr>
          <w:rFonts w:hint="eastAsia" w:ascii="黑体" w:hAnsi="黑体" w:eastAsia="黑体" w:cs="黑体"/>
          <w:b w:val="0"/>
          <w:bCs w:val="0"/>
          <w:color w:val="000000"/>
          <w:sz w:val="24"/>
          <w:szCs w:val="24"/>
          <w:lang w:eastAsia="zh-CN"/>
        </w:rPr>
        <w:t>小时内响应，</w:t>
      </w:r>
      <w:r>
        <w:rPr>
          <w:rFonts w:hint="eastAsia" w:ascii="黑体" w:hAnsi="黑体" w:eastAsia="黑体" w:cs="黑体"/>
          <w:b w:val="0"/>
          <w:bCs w:val="0"/>
          <w:color w:val="000000"/>
          <w:sz w:val="24"/>
          <w:szCs w:val="24"/>
          <w:lang w:val="en-US" w:eastAsia="zh-CN"/>
        </w:rPr>
        <w:t>12</w:t>
      </w:r>
      <w:r>
        <w:rPr>
          <w:rFonts w:hint="eastAsia" w:ascii="黑体" w:hAnsi="黑体" w:eastAsia="黑体" w:cs="黑体"/>
          <w:b w:val="0"/>
          <w:bCs w:val="0"/>
          <w:color w:val="000000"/>
          <w:sz w:val="24"/>
          <w:szCs w:val="24"/>
          <w:lang w:eastAsia="zh-CN"/>
        </w:rPr>
        <w:t xml:space="preserve"> 小时内到达现场进行处理。对于需要更换的产品，应在 7 个工作日内完成更换工作，确保医院的正常使用和结构安全。</w:t>
      </w:r>
    </w:p>
    <w:p w14:paraId="7ADE81F3">
      <w:pPr>
        <w:pageBreakBefore w:val="0"/>
        <w:kinsoku/>
        <w:overflowPunct/>
        <w:bidi w:val="0"/>
        <w:spacing w:line="360" w:lineRule="auto"/>
        <w:ind w:left="0" w:firstLine="420" w:firstLineChars="175"/>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六</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lang w:val="en-US" w:eastAsia="zh-CN"/>
        </w:rPr>
        <w:t>工程量清单</w:t>
      </w:r>
    </w:p>
    <w:p w14:paraId="3BD753D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另附电子版一份。</w:t>
      </w:r>
    </w:p>
    <w:p w14:paraId="59517D7A">
      <w:pPr>
        <w:pageBreakBefore w:val="0"/>
        <w:kinsoku/>
        <w:overflowPunct/>
        <w:bidi w:val="0"/>
        <w:spacing w:line="360" w:lineRule="auto"/>
        <w:ind w:left="0" w:firstLine="420" w:firstLineChars="175"/>
        <w:rPr>
          <w:rFonts w:hint="eastAsia" w:ascii="黑体" w:hAnsi="黑体" w:eastAsia="黑体" w:cs="黑体"/>
          <w:b w:val="0"/>
          <w:bCs w:val="0"/>
          <w:color w:val="000000"/>
          <w:sz w:val="24"/>
          <w:szCs w:val="24"/>
          <w:lang w:val="en-US" w:eastAsia="zh-CN"/>
        </w:rPr>
      </w:pPr>
    </w:p>
    <w:p w14:paraId="3DC3F336">
      <w:pPr>
        <w:pageBreakBefore w:val="0"/>
        <w:kinsoku/>
        <w:overflowPunct/>
        <w:bidi w:val="0"/>
        <w:spacing w:line="360" w:lineRule="auto"/>
        <w:ind w:left="0" w:firstLine="420" w:firstLineChars="175"/>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注:带“*”条款为实质性条款，必须完全响应，不允许负偏离，否则作无效响应处理。带“</w:t>
      </w:r>
      <w:r>
        <w:rPr>
          <w:rFonts w:hint="eastAsia" w:ascii="黑体" w:hAnsi="黑体" w:eastAsia="黑体" w:cs="黑体"/>
          <w:i w:val="0"/>
          <w:iCs w:val="0"/>
          <w:kern w:val="2"/>
          <w:sz w:val="24"/>
          <w:szCs w:val="24"/>
          <w:lang w:val="en-US" w:eastAsia="zh-CN" w:bidi="ar-SA"/>
        </w:rPr>
        <w:t>▲</w:t>
      </w:r>
      <w:r>
        <w:rPr>
          <w:rFonts w:hint="eastAsia" w:ascii="黑体" w:hAnsi="黑体" w:eastAsia="黑体" w:cs="黑体"/>
          <w:b w:val="0"/>
          <w:bCs w:val="0"/>
          <w:color w:val="000000"/>
          <w:sz w:val="24"/>
          <w:szCs w:val="24"/>
          <w:lang w:val="en-US" w:eastAsia="zh-CN"/>
        </w:rPr>
        <w:t>”表示重要参数，负偏离扣分。</w:t>
      </w:r>
    </w:p>
    <w:p w14:paraId="5814D3D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none"/>
      <w:pStyle w:val="3"/>
      <w:suff w:val="space"/>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533607B9"/>
    <w:multiLevelType w:val="singleLevel"/>
    <w:tmpl w:val="533607B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A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2025-07-18T06:51:24Z</dcterms:created>
  <dc:creator>d7706</dc:creator>
  <cp:lastModifiedBy>奥利奥利奥</cp:lastModifiedBy>
  <dcterms:modified xsi:type="dcterms:W3CDTF">2025-07-18T06:51:56Z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eyJoZGlkIjoiODJkYzVmZjcwYTQ5NWE2YjdlNmE4ZjI2Y2E1OGJiNTciLCJ1c2VySWQiOiIyNDQ5ODEzNDUifQ==</vt:lpwstr>
  </property>
  <property fmtid="{D5CDD505-2E9C-101B-9397-08002B2CF9AE}" pid="4" name="ICV">
    <vt:lpwstr>7D7E0B29D84F42FFB3551076D8F2D47A_12</vt:lpwstr>
  </property>
</Properties>
</file>